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82A19" w14:textId="77777777" w:rsidR="006A2038" w:rsidRPr="00794B61" w:rsidRDefault="006A2038" w:rsidP="00794B61">
      <w:bookmarkStart w:id="0" w:name="_GoBack"/>
      <w:bookmarkEnd w:id="0"/>
    </w:p>
    <w:p w14:paraId="0273B6BC" w14:textId="77777777" w:rsidR="006A2038" w:rsidRDefault="006A2038" w:rsidP="006C7C42"/>
    <w:p w14:paraId="2C35FFDF" w14:textId="77777777" w:rsidR="006A2038" w:rsidRDefault="006A2038" w:rsidP="006C7C42"/>
    <w:p w14:paraId="2EA5E2FC" w14:textId="77777777" w:rsidR="006A2038" w:rsidRDefault="006A2038" w:rsidP="006C7C42"/>
    <w:p w14:paraId="2D01A747" w14:textId="77777777" w:rsidR="006A2038" w:rsidRDefault="006A2038" w:rsidP="006C7C42"/>
    <w:p w14:paraId="337B1E71" w14:textId="77777777" w:rsidR="006A2038" w:rsidRDefault="006A2038" w:rsidP="006C7C42"/>
    <w:p w14:paraId="154BB21D" w14:textId="77777777" w:rsidR="006A2038" w:rsidRDefault="00200108" w:rsidP="006C7C42">
      <w:r>
        <w:rPr>
          <w:noProof/>
          <w:lang w:eastAsia="nl-NL"/>
        </w:rPr>
        <mc:AlternateContent>
          <mc:Choice Requires="wps">
            <w:drawing>
              <wp:anchor distT="228600" distB="228600" distL="228600" distR="228600" simplePos="0" relativeHeight="251659264" behindDoc="1" locked="0" layoutInCell="1" allowOverlap="1" wp14:anchorId="75FA0F34" wp14:editId="15264630">
                <wp:simplePos x="0" y="0"/>
                <wp:positionH relativeFrom="margin">
                  <wp:align>left</wp:align>
                </wp:positionH>
                <wp:positionV relativeFrom="margin">
                  <wp:posOffset>2340908</wp:posOffset>
                </wp:positionV>
                <wp:extent cx="5762625" cy="1490345"/>
                <wp:effectExtent l="0" t="0" r="9525" b="0"/>
                <wp:wrapSquare wrapText="bothSides"/>
                <wp:docPr id="36" name="Tekstvak 36"/>
                <wp:cNvGraphicFramePr/>
                <a:graphic xmlns:a="http://schemas.openxmlformats.org/drawingml/2006/main">
                  <a:graphicData uri="http://schemas.microsoft.com/office/word/2010/wordprocessingShape">
                    <wps:wsp>
                      <wps:cNvSpPr txBox="1"/>
                      <wps:spPr>
                        <a:xfrm>
                          <a:off x="0" y="0"/>
                          <a:ext cx="5762625" cy="149034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0ED99527" w14:textId="77777777" w:rsidR="006A2038" w:rsidRPr="006C7C42" w:rsidRDefault="00AB2254" w:rsidP="006A2038">
                            <w:pPr>
                              <w:pStyle w:val="Geenafstand"/>
                              <w:jc w:val="center"/>
                              <w:rPr>
                                <w:rFonts w:ascii="Arial" w:hAnsi="Arial" w:cs="Arial"/>
                                <w:color w:val="44546A" w:themeColor="text2"/>
                                <w:sz w:val="72"/>
                                <w:szCs w:val="72"/>
                              </w:rPr>
                            </w:pPr>
                            <w:r>
                              <w:rPr>
                                <w:rFonts w:ascii="Arial" w:hAnsi="Arial" w:cs="Arial"/>
                                <w:color w:val="44546A" w:themeColor="text2"/>
                                <w:sz w:val="72"/>
                                <w:szCs w:val="72"/>
                              </w:rPr>
                              <w:t>Inkoop- en aanbestedingsbeleid</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5FA0F34" id="_x0000_t202" coordsize="21600,21600" o:spt="202" path="m,l,21600r21600,l21600,xe">
                <v:stroke joinstyle="miter"/>
                <v:path gradientshapeok="t" o:connecttype="rect"/>
              </v:shapetype>
              <v:shape id="Tekstvak 36" o:spid="_x0000_s1026" type="#_x0000_t202" style="position:absolute;margin-left:0;margin-top:184.3pt;width:453.75pt;height:117.35pt;z-index:-251657216;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" fillcolor="#e9e8e8 [2899]" stroked="f" strokeweight=".5pt">
                <v:fill color2="#e1e0e0 [3139]" rotate="t" focusposition=".5,.5" focussize="-.5,-.5" focus="100%" type="gradientRadial"/>
                <v:textbox inset="14.4pt,14.4pt,14.4pt,14.4pt">
                  <w:txbxContent>
                    <w:p w14:paraId="0ED99527" w14:textId="77777777" w:rsidR="006A2038" w:rsidRPr="006C7C42" w:rsidRDefault="00AB2254" w:rsidP="006A2038">
                      <w:pPr>
                        <w:pStyle w:val="Geenafstand"/>
                        <w:jc w:val="center"/>
                        <w:rPr>
                          <w:rFonts w:ascii="Arial" w:hAnsi="Arial" w:cs="Arial"/>
                          <w:color w:val="44546A" w:themeColor="text2"/>
                          <w:sz w:val="72"/>
                          <w:szCs w:val="72"/>
                        </w:rPr>
                      </w:pPr>
                      <w:r>
                        <w:rPr>
                          <w:rFonts w:ascii="Arial" w:hAnsi="Arial" w:cs="Arial"/>
                          <w:color w:val="44546A" w:themeColor="text2"/>
                          <w:sz w:val="72"/>
                          <w:szCs w:val="72"/>
                        </w:rPr>
                        <w:t>Inkoop- en aanbestedingsbeleid</w:t>
                      </w:r>
                    </w:p>
                  </w:txbxContent>
                </v:textbox>
                <w10:wrap type="square" anchorx="margin" anchory="margin"/>
              </v:shape>
            </w:pict>
          </mc:Fallback>
        </mc:AlternateContent>
      </w:r>
    </w:p>
    <w:p w14:paraId="13FCCCF1" w14:textId="77777777" w:rsidR="006A2038" w:rsidRDefault="006A2038" w:rsidP="006C7C42"/>
    <w:p w14:paraId="644EFB30" w14:textId="77777777" w:rsidR="006A2038" w:rsidRDefault="006A2038" w:rsidP="006C7C42"/>
    <w:p w14:paraId="45073EC6" w14:textId="77777777" w:rsidR="006A2038" w:rsidRDefault="006A2038" w:rsidP="006C7C42"/>
    <w:p w14:paraId="41FFFFB5" w14:textId="77777777" w:rsidR="006A2038" w:rsidRDefault="006A2038" w:rsidP="006C7C42"/>
    <w:p w14:paraId="15018B10" w14:textId="77777777" w:rsidR="006A2038" w:rsidRDefault="006A2038" w:rsidP="006C7C42"/>
    <w:p w14:paraId="7740A326" w14:textId="77777777" w:rsidR="006A2038" w:rsidRDefault="006A2038" w:rsidP="006C7C42"/>
    <w:p w14:paraId="05BFEDCE" w14:textId="77777777" w:rsidR="006A2038" w:rsidRDefault="006A2038" w:rsidP="006C7C42"/>
    <w:p w14:paraId="2F12BB33" w14:textId="77777777" w:rsidR="006C7C42" w:rsidRDefault="006C7C42" w:rsidP="006C7C42"/>
    <w:p w14:paraId="7CA45250" w14:textId="77777777" w:rsidR="006C7C42" w:rsidRDefault="006C7C42" w:rsidP="006C7C42"/>
    <w:p w14:paraId="46F6CF82" w14:textId="77777777" w:rsidR="006C7C42" w:rsidRDefault="006C7C42" w:rsidP="006C7C42"/>
    <w:p w14:paraId="05837F3A" w14:textId="77777777" w:rsidR="006C7C42" w:rsidRDefault="006C7C42" w:rsidP="006C7C42"/>
    <w:p w14:paraId="20B4951C" w14:textId="77777777" w:rsidR="006C7C42" w:rsidRDefault="006C7C42" w:rsidP="006C7C42"/>
    <w:p w14:paraId="4AC9201F" w14:textId="77777777" w:rsidR="006C7C42" w:rsidRDefault="006C7C42" w:rsidP="006C7C42"/>
    <w:p w14:paraId="20E23402" w14:textId="77777777" w:rsidR="006C7C42" w:rsidRDefault="006C7C42" w:rsidP="006C7C42"/>
    <w:p w14:paraId="20F1F60A" w14:textId="77777777" w:rsidR="006C7C42" w:rsidRDefault="006C7C42" w:rsidP="006C7C42"/>
    <w:p w14:paraId="7D7891C8" w14:textId="77777777" w:rsidR="006C7C42" w:rsidRDefault="006C7C42" w:rsidP="006C7C42"/>
    <w:p w14:paraId="157D8FAF" w14:textId="77777777" w:rsidR="006C7C42" w:rsidRDefault="006C7C42" w:rsidP="006C7C42"/>
    <w:p w14:paraId="0CFDE0F4" w14:textId="77777777" w:rsidR="006C7C42" w:rsidRDefault="006C7C42" w:rsidP="006C7C42"/>
    <w:p w14:paraId="02ABA2D9" w14:textId="77777777" w:rsidR="006C7C42" w:rsidRDefault="006C7C42" w:rsidP="006C7C42"/>
    <w:p w14:paraId="0D9306C6" w14:textId="77777777" w:rsidR="006A2038" w:rsidRDefault="006A2038" w:rsidP="006C7C42"/>
    <w:tbl>
      <w:tblPr>
        <w:tblStyle w:val="Tabelrasterlicht1"/>
        <w:tblW w:w="9464" w:type="dxa"/>
        <w:tblLook w:val="04A0" w:firstRow="1" w:lastRow="0" w:firstColumn="1" w:lastColumn="0" w:noHBand="0" w:noVBand="1"/>
      </w:tblPr>
      <w:tblGrid>
        <w:gridCol w:w="4606"/>
        <w:gridCol w:w="4858"/>
      </w:tblGrid>
      <w:tr w:rsidR="006A2038" w:rsidRPr="006A2038" w14:paraId="53018837" w14:textId="77777777" w:rsidTr="004E41C1">
        <w:tc>
          <w:tcPr>
            <w:tcW w:w="4606" w:type="dxa"/>
          </w:tcPr>
          <w:p w14:paraId="5C77864A" w14:textId="77777777" w:rsidR="006A2038" w:rsidRPr="006C7C42" w:rsidRDefault="006A2038" w:rsidP="006C7C42">
            <w:r w:rsidRPr="006C7C42">
              <w:t>MT</w:t>
            </w:r>
          </w:p>
        </w:tc>
        <w:tc>
          <w:tcPr>
            <w:tcW w:w="4858" w:type="dxa"/>
          </w:tcPr>
          <w:p w14:paraId="7067A3BD" w14:textId="27BB645E" w:rsidR="006A2038" w:rsidRPr="006C7C42" w:rsidRDefault="006A2038" w:rsidP="006C7C42">
            <w:r w:rsidRPr="006C7C42">
              <w:t xml:space="preserve">goedgekeurd op </w:t>
            </w:r>
            <w:r w:rsidR="006F7415">
              <w:t>24 september 2020</w:t>
            </w:r>
          </w:p>
        </w:tc>
      </w:tr>
      <w:tr w:rsidR="006A2038" w:rsidRPr="006A2038" w14:paraId="4BC81A59" w14:textId="77777777" w:rsidTr="004E41C1">
        <w:tc>
          <w:tcPr>
            <w:tcW w:w="4606" w:type="dxa"/>
          </w:tcPr>
          <w:p w14:paraId="7CD377E0" w14:textId="77777777" w:rsidR="006A2038" w:rsidRPr="006C7C42" w:rsidRDefault="006A2038" w:rsidP="006C7C42">
            <w:r w:rsidRPr="006C7C42">
              <w:t>(P)MR</w:t>
            </w:r>
          </w:p>
        </w:tc>
        <w:tc>
          <w:tcPr>
            <w:tcW w:w="4858" w:type="dxa"/>
          </w:tcPr>
          <w:p w14:paraId="57AABAAB" w14:textId="358A9D40" w:rsidR="006A2038" w:rsidRPr="006C7C42" w:rsidRDefault="006F7415" w:rsidP="006C7C42">
            <w:r>
              <w:t>ingestemd op 27 oktober</w:t>
            </w:r>
          </w:p>
        </w:tc>
      </w:tr>
      <w:tr w:rsidR="006A2038" w:rsidRPr="006A2038" w14:paraId="776BCE55" w14:textId="77777777" w:rsidTr="004E41C1">
        <w:tc>
          <w:tcPr>
            <w:tcW w:w="4606" w:type="dxa"/>
          </w:tcPr>
          <w:p w14:paraId="56A79535" w14:textId="77777777" w:rsidR="006A2038" w:rsidRPr="006C7C42" w:rsidRDefault="001C7103" w:rsidP="006C7C42">
            <w:r w:rsidRPr="006C7C42">
              <w:t>C</w:t>
            </w:r>
            <w:r w:rsidR="006A2038" w:rsidRPr="006C7C42">
              <w:t xml:space="preserve">ollege van </w:t>
            </w:r>
            <w:r w:rsidRPr="006C7C42">
              <w:t>B</w:t>
            </w:r>
            <w:r w:rsidR="006A2038" w:rsidRPr="006C7C42">
              <w:t>estuur</w:t>
            </w:r>
          </w:p>
        </w:tc>
        <w:tc>
          <w:tcPr>
            <w:tcW w:w="4858" w:type="dxa"/>
          </w:tcPr>
          <w:p w14:paraId="7613FA07" w14:textId="73A588EB" w:rsidR="006A2038" w:rsidRPr="006C7C42" w:rsidRDefault="006A2038" w:rsidP="006C7C42">
            <w:r w:rsidRPr="006C7C42">
              <w:t>formeel vastgesteld</w:t>
            </w:r>
            <w:r w:rsidR="006F7415">
              <w:t xml:space="preserve"> 1 november 2020</w:t>
            </w:r>
            <w:r w:rsidRPr="006C7C42">
              <w:t xml:space="preserve"> </w:t>
            </w:r>
          </w:p>
        </w:tc>
      </w:tr>
    </w:tbl>
    <w:p w14:paraId="7DD79361" w14:textId="77777777" w:rsidR="004E41C1" w:rsidRDefault="004E41C1" w:rsidP="006C7C42"/>
    <w:p w14:paraId="523DDDDC" w14:textId="77777777" w:rsidR="006C7C42" w:rsidRDefault="006C7C42" w:rsidP="006C7C42"/>
    <w:p w14:paraId="2A7510DF" w14:textId="7CC0E3E0" w:rsidR="004E41C1" w:rsidRPr="006C7C42" w:rsidRDefault="004E41C1" w:rsidP="00AB2254">
      <w:pPr>
        <w:tabs>
          <w:tab w:val="left" w:pos="1276"/>
        </w:tabs>
      </w:pPr>
      <w:r w:rsidRPr="006C7C42">
        <w:t>Versie:</w:t>
      </w:r>
      <w:r w:rsidRPr="006C7C42">
        <w:tab/>
      </w:r>
      <w:r w:rsidR="000536AE">
        <w:t>oktober</w:t>
      </w:r>
      <w:r w:rsidR="00AB2254">
        <w:t xml:space="preserve"> 2</w:t>
      </w:r>
      <w:r w:rsidR="000536AE">
        <w:t>020</w:t>
      </w:r>
    </w:p>
    <w:p w14:paraId="68150D95" w14:textId="77777777" w:rsidR="004E41C1" w:rsidRPr="006C7C42" w:rsidRDefault="004E41C1" w:rsidP="00AB2254">
      <w:pPr>
        <w:tabs>
          <w:tab w:val="left" w:pos="1276"/>
        </w:tabs>
      </w:pPr>
      <w:r w:rsidRPr="006C7C42">
        <w:t>Auteur:</w:t>
      </w:r>
      <w:r w:rsidRPr="006C7C42">
        <w:tab/>
      </w:r>
      <w:r w:rsidR="00AB2254">
        <w:t>R. van den Nieuwenhuijzen</w:t>
      </w:r>
    </w:p>
    <w:p w14:paraId="0AB6ED6A" w14:textId="79C77CC3" w:rsidR="004E41C1" w:rsidRPr="006C7C42" w:rsidRDefault="004E41C1" w:rsidP="00AB2254">
      <w:pPr>
        <w:tabs>
          <w:tab w:val="left" w:pos="1276"/>
        </w:tabs>
      </w:pPr>
      <w:r w:rsidRPr="006C7C42">
        <w:t>Looptijd:</w:t>
      </w:r>
      <w:r w:rsidRPr="006C7C42">
        <w:tab/>
      </w:r>
      <w:r w:rsidR="000536AE">
        <w:t xml:space="preserve">2 </w:t>
      </w:r>
      <w:r w:rsidR="00AB2254">
        <w:t>jaar</w:t>
      </w:r>
    </w:p>
    <w:p w14:paraId="26BEBEA5" w14:textId="7CBC83A9" w:rsidR="00610232" w:rsidRPr="006C7C42" w:rsidRDefault="004E41C1" w:rsidP="00AB2254">
      <w:pPr>
        <w:tabs>
          <w:tab w:val="left" w:pos="1276"/>
        </w:tabs>
      </w:pPr>
      <w:r w:rsidRPr="006C7C42">
        <w:t>Loopt af op:</w:t>
      </w:r>
      <w:r w:rsidRPr="006C7C42">
        <w:tab/>
      </w:r>
      <w:r w:rsidR="000536AE">
        <w:t>oktober</w:t>
      </w:r>
      <w:r w:rsidR="00AB2254">
        <w:t xml:space="preserve"> 202</w:t>
      </w:r>
      <w:r w:rsidR="000536AE">
        <w:t>2</w:t>
      </w:r>
    </w:p>
    <w:p w14:paraId="7EA49030" w14:textId="77777777" w:rsidR="00AA3AE6" w:rsidRDefault="00610232">
      <w:pPr>
        <w:spacing w:after="160"/>
      </w:pPr>
      <w:r>
        <w:br w:type="page"/>
      </w:r>
    </w:p>
    <w:sdt>
      <w:sdtPr>
        <w:rPr>
          <w:rFonts w:ascii="Arial" w:eastAsiaTheme="minorHAnsi" w:hAnsi="Arial" w:cs="Arial"/>
          <w:color w:val="auto"/>
          <w:sz w:val="20"/>
          <w:szCs w:val="20"/>
          <w:lang w:eastAsia="en-US"/>
        </w:rPr>
        <w:id w:val="299277783"/>
        <w:docPartObj>
          <w:docPartGallery w:val="Table of Contents"/>
          <w:docPartUnique/>
        </w:docPartObj>
      </w:sdtPr>
      <w:sdtEndPr>
        <w:rPr>
          <w:b/>
          <w:bCs/>
        </w:rPr>
      </w:sdtEndPr>
      <w:sdtContent>
        <w:p w14:paraId="0A3C6FE3" w14:textId="77777777" w:rsidR="00AA3AE6" w:rsidRDefault="00AA3AE6">
          <w:pPr>
            <w:pStyle w:val="Kopvaninhoudsopgave"/>
          </w:pPr>
          <w:r>
            <w:t>Inhoudsopgave</w:t>
          </w:r>
        </w:p>
        <w:p w14:paraId="4B9D010D" w14:textId="77777777" w:rsidR="00AA3AE6" w:rsidRDefault="00AA3AE6">
          <w:pPr>
            <w:pStyle w:val="Inhopg3"/>
            <w:tabs>
              <w:tab w:val="right" w:leader="dot" w:pos="9062"/>
            </w:tabs>
            <w:rPr>
              <w:rFonts w:asciiTheme="minorHAnsi" w:eastAsiaTheme="minorEastAsia" w:hAnsiTheme="minorHAnsi" w:cstheme="minorBidi"/>
              <w:noProof/>
              <w:sz w:val="22"/>
              <w:szCs w:val="22"/>
              <w:lang w:eastAsia="nl-NL"/>
            </w:rPr>
          </w:pPr>
          <w:r>
            <w:fldChar w:fldCharType="begin"/>
          </w:r>
          <w:r>
            <w:instrText xml:space="preserve"> TOC \o "1-3" \h \z \u </w:instrText>
          </w:r>
          <w:r>
            <w:fldChar w:fldCharType="separate"/>
          </w:r>
          <w:hyperlink w:anchor="_Toc36133450" w:history="1">
            <w:r w:rsidRPr="00464159">
              <w:rPr>
                <w:rStyle w:val="Hyperlink"/>
                <w:noProof/>
              </w:rPr>
              <w:t>Voorwoord</w:t>
            </w:r>
            <w:r>
              <w:rPr>
                <w:noProof/>
                <w:webHidden/>
              </w:rPr>
              <w:tab/>
            </w:r>
            <w:r>
              <w:rPr>
                <w:noProof/>
                <w:webHidden/>
              </w:rPr>
              <w:fldChar w:fldCharType="begin"/>
            </w:r>
            <w:r>
              <w:rPr>
                <w:noProof/>
                <w:webHidden/>
              </w:rPr>
              <w:instrText xml:space="preserve"> PAGEREF _Toc36133450 \h </w:instrText>
            </w:r>
            <w:r>
              <w:rPr>
                <w:noProof/>
                <w:webHidden/>
              </w:rPr>
            </w:r>
            <w:r>
              <w:rPr>
                <w:noProof/>
                <w:webHidden/>
              </w:rPr>
              <w:fldChar w:fldCharType="separate"/>
            </w:r>
            <w:r>
              <w:rPr>
                <w:noProof/>
                <w:webHidden/>
              </w:rPr>
              <w:t>3</w:t>
            </w:r>
            <w:r>
              <w:rPr>
                <w:noProof/>
                <w:webHidden/>
              </w:rPr>
              <w:fldChar w:fldCharType="end"/>
            </w:r>
          </w:hyperlink>
        </w:p>
        <w:p w14:paraId="613E224B" w14:textId="77777777" w:rsidR="00AA3AE6" w:rsidRDefault="0030271A">
          <w:pPr>
            <w:pStyle w:val="Inhopg3"/>
            <w:tabs>
              <w:tab w:val="right" w:leader="dot" w:pos="9062"/>
            </w:tabs>
            <w:rPr>
              <w:rFonts w:asciiTheme="minorHAnsi" w:eastAsiaTheme="minorEastAsia" w:hAnsiTheme="minorHAnsi" w:cstheme="minorBidi"/>
              <w:noProof/>
              <w:sz w:val="22"/>
              <w:szCs w:val="22"/>
              <w:lang w:eastAsia="nl-NL"/>
            </w:rPr>
          </w:pPr>
          <w:hyperlink w:anchor="_Toc36133451" w:history="1">
            <w:r w:rsidR="00AA3AE6" w:rsidRPr="00464159">
              <w:rPr>
                <w:rStyle w:val="Hyperlink"/>
                <w:noProof/>
              </w:rPr>
              <w:t>Inleiding</w:t>
            </w:r>
            <w:r w:rsidR="00AA3AE6">
              <w:rPr>
                <w:noProof/>
                <w:webHidden/>
              </w:rPr>
              <w:tab/>
            </w:r>
            <w:r w:rsidR="00AA3AE6">
              <w:rPr>
                <w:noProof/>
                <w:webHidden/>
              </w:rPr>
              <w:fldChar w:fldCharType="begin"/>
            </w:r>
            <w:r w:rsidR="00AA3AE6">
              <w:rPr>
                <w:noProof/>
                <w:webHidden/>
              </w:rPr>
              <w:instrText xml:space="preserve"> PAGEREF _Toc36133451 \h </w:instrText>
            </w:r>
            <w:r w:rsidR="00AA3AE6">
              <w:rPr>
                <w:noProof/>
                <w:webHidden/>
              </w:rPr>
            </w:r>
            <w:r w:rsidR="00AA3AE6">
              <w:rPr>
                <w:noProof/>
                <w:webHidden/>
              </w:rPr>
              <w:fldChar w:fldCharType="separate"/>
            </w:r>
            <w:r w:rsidR="00AA3AE6">
              <w:rPr>
                <w:noProof/>
                <w:webHidden/>
              </w:rPr>
              <w:t>3</w:t>
            </w:r>
            <w:r w:rsidR="00AA3AE6">
              <w:rPr>
                <w:noProof/>
                <w:webHidden/>
              </w:rPr>
              <w:fldChar w:fldCharType="end"/>
            </w:r>
          </w:hyperlink>
        </w:p>
        <w:p w14:paraId="27B67788" w14:textId="77777777" w:rsidR="00AA3AE6" w:rsidRDefault="0030271A">
          <w:pPr>
            <w:pStyle w:val="Inhopg1"/>
            <w:tabs>
              <w:tab w:val="left" w:pos="400"/>
              <w:tab w:val="right" w:leader="dot" w:pos="9062"/>
            </w:tabs>
            <w:rPr>
              <w:rFonts w:asciiTheme="minorHAnsi" w:eastAsiaTheme="minorEastAsia" w:hAnsiTheme="minorHAnsi" w:cstheme="minorBidi"/>
              <w:noProof/>
              <w:sz w:val="22"/>
              <w:szCs w:val="22"/>
              <w:lang w:eastAsia="nl-NL"/>
            </w:rPr>
          </w:pPr>
          <w:hyperlink w:anchor="_Toc36133452" w:history="1">
            <w:r w:rsidR="00AA3AE6" w:rsidRPr="00464159">
              <w:rPr>
                <w:rStyle w:val="Hyperlink"/>
                <w:noProof/>
              </w:rPr>
              <w:t>1</w:t>
            </w:r>
            <w:r w:rsidR="00AA3AE6">
              <w:rPr>
                <w:rFonts w:asciiTheme="minorHAnsi" w:eastAsiaTheme="minorEastAsia" w:hAnsiTheme="minorHAnsi" w:cstheme="minorBidi"/>
                <w:noProof/>
                <w:sz w:val="22"/>
                <w:szCs w:val="22"/>
                <w:lang w:eastAsia="nl-NL"/>
              </w:rPr>
              <w:tab/>
            </w:r>
            <w:r w:rsidR="00AA3AE6" w:rsidRPr="00464159">
              <w:rPr>
                <w:rStyle w:val="Hyperlink"/>
                <w:noProof/>
              </w:rPr>
              <w:t>Juridische uitgangspunten</w:t>
            </w:r>
            <w:r w:rsidR="00AA3AE6">
              <w:rPr>
                <w:noProof/>
                <w:webHidden/>
              </w:rPr>
              <w:tab/>
            </w:r>
            <w:r w:rsidR="00AA3AE6">
              <w:rPr>
                <w:noProof/>
                <w:webHidden/>
              </w:rPr>
              <w:fldChar w:fldCharType="begin"/>
            </w:r>
            <w:r w:rsidR="00AA3AE6">
              <w:rPr>
                <w:noProof/>
                <w:webHidden/>
              </w:rPr>
              <w:instrText xml:space="preserve"> PAGEREF _Toc36133452 \h </w:instrText>
            </w:r>
            <w:r w:rsidR="00AA3AE6">
              <w:rPr>
                <w:noProof/>
                <w:webHidden/>
              </w:rPr>
            </w:r>
            <w:r w:rsidR="00AA3AE6">
              <w:rPr>
                <w:noProof/>
                <w:webHidden/>
              </w:rPr>
              <w:fldChar w:fldCharType="separate"/>
            </w:r>
            <w:r w:rsidR="00AA3AE6">
              <w:rPr>
                <w:noProof/>
                <w:webHidden/>
              </w:rPr>
              <w:t>4</w:t>
            </w:r>
            <w:r w:rsidR="00AA3AE6">
              <w:rPr>
                <w:noProof/>
                <w:webHidden/>
              </w:rPr>
              <w:fldChar w:fldCharType="end"/>
            </w:r>
          </w:hyperlink>
        </w:p>
        <w:p w14:paraId="1E145F8B" w14:textId="77777777" w:rsidR="00AA3AE6" w:rsidRDefault="0030271A">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36133453" w:history="1">
            <w:r w:rsidR="00AA3AE6" w:rsidRPr="00464159">
              <w:rPr>
                <w:rStyle w:val="Hyperlink"/>
                <w:noProof/>
              </w:rPr>
              <w:t>1.1</w:t>
            </w:r>
            <w:r w:rsidR="00AA3AE6">
              <w:rPr>
                <w:rFonts w:asciiTheme="minorHAnsi" w:eastAsiaTheme="minorEastAsia" w:hAnsiTheme="minorHAnsi" w:cstheme="minorBidi"/>
                <w:noProof/>
                <w:sz w:val="22"/>
                <w:szCs w:val="22"/>
                <w:lang w:eastAsia="nl-NL"/>
              </w:rPr>
              <w:tab/>
            </w:r>
            <w:r w:rsidR="00AA3AE6" w:rsidRPr="00464159">
              <w:rPr>
                <w:rStyle w:val="Hyperlink"/>
                <w:noProof/>
              </w:rPr>
              <w:t>Wet- en regelgeving</w:t>
            </w:r>
            <w:r w:rsidR="00AA3AE6">
              <w:rPr>
                <w:noProof/>
                <w:webHidden/>
              </w:rPr>
              <w:tab/>
            </w:r>
            <w:r w:rsidR="00AA3AE6">
              <w:rPr>
                <w:noProof/>
                <w:webHidden/>
              </w:rPr>
              <w:fldChar w:fldCharType="begin"/>
            </w:r>
            <w:r w:rsidR="00AA3AE6">
              <w:rPr>
                <w:noProof/>
                <w:webHidden/>
              </w:rPr>
              <w:instrText xml:space="preserve"> PAGEREF _Toc36133453 \h </w:instrText>
            </w:r>
            <w:r w:rsidR="00AA3AE6">
              <w:rPr>
                <w:noProof/>
                <w:webHidden/>
              </w:rPr>
            </w:r>
            <w:r w:rsidR="00AA3AE6">
              <w:rPr>
                <w:noProof/>
                <w:webHidden/>
              </w:rPr>
              <w:fldChar w:fldCharType="separate"/>
            </w:r>
            <w:r w:rsidR="00AA3AE6">
              <w:rPr>
                <w:noProof/>
                <w:webHidden/>
              </w:rPr>
              <w:t>4</w:t>
            </w:r>
            <w:r w:rsidR="00AA3AE6">
              <w:rPr>
                <w:noProof/>
                <w:webHidden/>
              </w:rPr>
              <w:fldChar w:fldCharType="end"/>
            </w:r>
          </w:hyperlink>
        </w:p>
        <w:p w14:paraId="0EA227BF" w14:textId="77777777" w:rsidR="00AA3AE6" w:rsidRDefault="0030271A">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36133454" w:history="1">
            <w:r w:rsidR="00AA3AE6" w:rsidRPr="00464159">
              <w:rPr>
                <w:rStyle w:val="Hyperlink"/>
                <w:noProof/>
              </w:rPr>
              <w:t>1.2</w:t>
            </w:r>
            <w:r w:rsidR="00AA3AE6">
              <w:rPr>
                <w:rFonts w:asciiTheme="minorHAnsi" w:eastAsiaTheme="minorEastAsia" w:hAnsiTheme="minorHAnsi" w:cstheme="minorBidi"/>
                <w:noProof/>
                <w:sz w:val="22"/>
                <w:szCs w:val="22"/>
                <w:lang w:eastAsia="nl-NL"/>
              </w:rPr>
              <w:tab/>
            </w:r>
            <w:r w:rsidR="00AA3AE6" w:rsidRPr="00464159">
              <w:rPr>
                <w:rStyle w:val="Hyperlink"/>
                <w:noProof/>
              </w:rPr>
              <w:t>Transparantie, objectiviteit, non-discriminatie en proportionaliteit</w:t>
            </w:r>
            <w:r w:rsidR="00AA3AE6">
              <w:rPr>
                <w:noProof/>
                <w:webHidden/>
              </w:rPr>
              <w:tab/>
            </w:r>
            <w:r w:rsidR="00AA3AE6">
              <w:rPr>
                <w:noProof/>
                <w:webHidden/>
              </w:rPr>
              <w:fldChar w:fldCharType="begin"/>
            </w:r>
            <w:r w:rsidR="00AA3AE6">
              <w:rPr>
                <w:noProof/>
                <w:webHidden/>
              </w:rPr>
              <w:instrText xml:space="preserve"> PAGEREF _Toc36133454 \h </w:instrText>
            </w:r>
            <w:r w:rsidR="00AA3AE6">
              <w:rPr>
                <w:noProof/>
                <w:webHidden/>
              </w:rPr>
            </w:r>
            <w:r w:rsidR="00AA3AE6">
              <w:rPr>
                <w:noProof/>
                <w:webHidden/>
              </w:rPr>
              <w:fldChar w:fldCharType="separate"/>
            </w:r>
            <w:r w:rsidR="00AA3AE6">
              <w:rPr>
                <w:noProof/>
                <w:webHidden/>
              </w:rPr>
              <w:t>4</w:t>
            </w:r>
            <w:r w:rsidR="00AA3AE6">
              <w:rPr>
                <w:noProof/>
                <w:webHidden/>
              </w:rPr>
              <w:fldChar w:fldCharType="end"/>
            </w:r>
          </w:hyperlink>
        </w:p>
        <w:p w14:paraId="7DDB9277" w14:textId="77777777" w:rsidR="00AA3AE6" w:rsidRDefault="0030271A">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36133455" w:history="1">
            <w:r w:rsidR="00AA3AE6" w:rsidRPr="00464159">
              <w:rPr>
                <w:rStyle w:val="Hyperlink"/>
                <w:noProof/>
              </w:rPr>
              <w:t>1.3</w:t>
            </w:r>
            <w:r w:rsidR="00AA3AE6">
              <w:rPr>
                <w:rFonts w:asciiTheme="minorHAnsi" w:eastAsiaTheme="minorEastAsia" w:hAnsiTheme="minorHAnsi" w:cstheme="minorBidi"/>
                <w:noProof/>
                <w:sz w:val="22"/>
                <w:szCs w:val="22"/>
                <w:lang w:eastAsia="nl-NL"/>
              </w:rPr>
              <w:tab/>
            </w:r>
            <w:r w:rsidR="00AA3AE6" w:rsidRPr="00464159">
              <w:rPr>
                <w:rStyle w:val="Hyperlink"/>
                <w:noProof/>
              </w:rPr>
              <w:t>Algemene Inkoopvoorwaarden</w:t>
            </w:r>
            <w:r w:rsidR="00AA3AE6">
              <w:rPr>
                <w:noProof/>
                <w:webHidden/>
              </w:rPr>
              <w:tab/>
            </w:r>
            <w:r w:rsidR="00AA3AE6">
              <w:rPr>
                <w:noProof/>
                <w:webHidden/>
              </w:rPr>
              <w:fldChar w:fldCharType="begin"/>
            </w:r>
            <w:r w:rsidR="00AA3AE6">
              <w:rPr>
                <w:noProof/>
                <w:webHidden/>
              </w:rPr>
              <w:instrText xml:space="preserve"> PAGEREF _Toc36133455 \h </w:instrText>
            </w:r>
            <w:r w:rsidR="00AA3AE6">
              <w:rPr>
                <w:noProof/>
                <w:webHidden/>
              </w:rPr>
            </w:r>
            <w:r w:rsidR="00AA3AE6">
              <w:rPr>
                <w:noProof/>
                <w:webHidden/>
              </w:rPr>
              <w:fldChar w:fldCharType="separate"/>
            </w:r>
            <w:r w:rsidR="00AA3AE6">
              <w:rPr>
                <w:noProof/>
                <w:webHidden/>
              </w:rPr>
              <w:t>4</w:t>
            </w:r>
            <w:r w:rsidR="00AA3AE6">
              <w:rPr>
                <w:noProof/>
                <w:webHidden/>
              </w:rPr>
              <w:fldChar w:fldCharType="end"/>
            </w:r>
          </w:hyperlink>
        </w:p>
        <w:p w14:paraId="6B8ED564" w14:textId="77777777" w:rsidR="00AA3AE6" w:rsidRDefault="0030271A">
          <w:pPr>
            <w:pStyle w:val="Inhopg1"/>
            <w:tabs>
              <w:tab w:val="left" w:pos="400"/>
              <w:tab w:val="right" w:leader="dot" w:pos="9062"/>
            </w:tabs>
            <w:rPr>
              <w:rFonts w:asciiTheme="minorHAnsi" w:eastAsiaTheme="minorEastAsia" w:hAnsiTheme="minorHAnsi" w:cstheme="minorBidi"/>
              <w:noProof/>
              <w:sz w:val="22"/>
              <w:szCs w:val="22"/>
              <w:lang w:eastAsia="nl-NL"/>
            </w:rPr>
          </w:pPr>
          <w:hyperlink w:anchor="_Toc36133456" w:history="1">
            <w:r w:rsidR="00AA3AE6" w:rsidRPr="00464159">
              <w:rPr>
                <w:rStyle w:val="Hyperlink"/>
                <w:noProof/>
              </w:rPr>
              <w:t>2</w:t>
            </w:r>
            <w:r w:rsidR="00AA3AE6">
              <w:rPr>
                <w:rFonts w:asciiTheme="minorHAnsi" w:eastAsiaTheme="minorEastAsia" w:hAnsiTheme="minorHAnsi" w:cstheme="minorBidi"/>
                <w:noProof/>
                <w:sz w:val="22"/>
                <w:szCs w:val="22"/>
                <w:lang w:eastAsia="nl-NL"/>
              </w:rPr>
              <w:tab/>
            </w:r>
            <w:r w:rsidR="00AA3AE6" w:rsidRPr="00464159">
              <w:rPr>
                <w:rStyle w:val="Hyperlink"/>
                <w:noProof/>
              </w:rPr>
              <w:t>Maatschappelijke uitgangspunten</w:t>
            </w:r>
            <w:r w:rsidR="00AA3AE6">
              <w:rPr>
                <w:noProof/>
                <w:webHidden/>
              </w:rPr>
              <w:tab/>
            </w:r>
            <w:r w:rsidR="00AA3AE6">
              <w:rPr>
                <w:noProof/>
                <w:webHidden/>
              </w:rPr>
              <w:fldChar w:fldCharType="begin"/>
            </w:r>
            <w:r w:rsidR="00AA3AE6">
              <w:rPr>
                <w:noProof/>
                <w:webHidden/>
              </w:rPr>
              <w:instrText xml:space="preserve"> PAGEREF _Toc36133456 \h </w:instrText>
            </w:r>
            <w:r w:rsidR="00AA3AE6">
              <w:rPr>
                <w:noProof/>
                <w:webHidden/>
              </w:rPr>
            </w:r>
            <w:r w:rsidR="00AA3AE6">
              <w:rPr>
                <w:noProof/>
                <w:webHidden/>
              </w:rPr>
              <w:fldChar w:fldCharType="separate"/>
            </w:r>
            <w:r w:rsidR="00AA3AE6">
              <w:rPr>
                <w:noProof/>
                <w:webHidden/>
              </w:rPr>
              <w:t>5</w:t>
            </w:r>
            <w:r w:rsidR="00AA3AE6">
              <w:rPr>
                <w:noProof/>
                <w:webHidden/>
              </w:rPr>
              <w:fldChar w:fldCharType="end"/>
            </w:r>
          </w:hyperlink>
        </w:p>
        <w:p w14:paraId="619D4866" w14:textId="77777777" w:rsidR="00AA3AE6" w:rsidRDefault="0030271A">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36133457" w:history="1">
            <w:r w:rsidR="00AA3AE6" w:rsidRPr="00464159">
              <w:rPr>
                <w:rStyle w:val="Hyperlink"/>
                <w:noProof/>
              </w:rPr>
              <w:t>2.1</w:t>
            </w:r>
            <w:r w:rsidR="00AA3AE6">
              <w:rPr>
                <w:rFonts w:asciiTheme="minorHAnsi" w:eastAsiaTheme="minorEastAsia" w:hAnsiTheme="minorHAnsi" w:cstheme="minorBidi"/>
                <w:noProof/>
                <w:sz w:val="22"/>
                <w:szCs w:val="22"/>
                <w:lang w:eastAsia="nl-NL"/>
              </w:rPr>
              <w:tab/>
            </w:r>
            <w:r w:rsidR="00AA3AE6" w:rsidRPr="00464159">
              <w:rPr>
                <w:rStyle w:val="Hyperlink"/>
                <w:noProof/>
              </w:rPr>
              <w:t>Duurzaam inkopen</w:t>
            </w:r>
            <w:r w:rsidR="00AA3AE6">
              <w:rPr>
                <w:noProof/>
                <w:webHidden/>
              </w:rPr>
              <w:tab/>
            </w:r>
            <w:r w:rsidR="00AA3AE6">
              <w:rPr>
                <w:noProof/>
                <w:webHidden/>
              </w:rPr>
              <w:fldChar w:fldCharType="begin"/>
            </w:r>
            <w:r w:rsidR="00AA3AE6">
              <w:rPr>
                <w:noProof/>
                <w:webHidden/>
              </w:rPr>
              <w:instrText xml:space="preserve"> PAGEREF _Toc36133457 \h </w:instrText>
            </w:r>
            <w:r w:rsidR="00AA3AE6">
              <w:rPr>
                <w:noProof/>
                <w:webHidden/>
              </w:rPr>
            </w:r>
            <w:r w:rsidR="00AA3AE6">
              <w:rPr>
                <w:noProof/>
                <w:webHidden/>
              </w:rPr>
              <w:fldChar w:fldCharType="separate"/>
            </w:r>
            <w:r w:rsidR="00AA3AE6">
              <w:rPr>
                <w:noProof/>
                <w:webHidden/>
              </w:rPr>
              <w:t>5</w:t>
            </w:r>
            <w:r w:rsidR="00AA3AE6">
              <w:rPr>
                <w:noProof/>
                <w:webHidden/>
              </w:rPr>
              <w:fldChar w:fldCharType="end"/>
            </w:r>
          </w:hyperlink>
        </w:p>
        <w:p w14:paraId="69EF609F" w14:textId="77777777" w:rsidR="00AA3AE6" w:rsidRDefault="0030271A">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36133458" w:history="1">
            <w:r w:rsidR="00AA3AE6" w:rsidRPr="00464159">
              <w:rPr>
                <w:rStyle w:val="Hyperlink"/>
                <w:noProof/>
              </w:rPr>
              <w:t>2.2</w:t>
            </w:r>
            <w:r w:rsidR="00AA3AE6">
              <w:rPr>
                <w:rFonts w:asciiTheme="minorHAnsi" w:eastAsiaTheme="minorEastAsia" w:hAnsiTheme="minorHAnsi" w:cstheme="minorBidi"/>
                <w:noProof/>
                <w:sz w:val="22"/>
                <w:szCs w:val="22"/>
                <w:lang w:eastAsia="nl-NL"/>
              </w:rPr>
              <w:tab/>
            </w:r>
            <w:r w:rsidR="00AA3AE6" w:rsidRPr="00464159">
              <w:rPr>
                <w:rStyle w:val="Hyperlink"/>
                <w:noProof/>
              </w:rPr>
              <w:t>Integriteit en inkoopethiek</w:t>
            </w:r>
            <w:r w:rsidR="00AA3AE6">
              <w:rPr>
                <w:noProof/>
                <w:webHidden/>
              </w:rPr>
              <w:tab/>
            </w:r>
            <w:r w:rsidR="00AA3AE6">
              <w:rPr>
                <w:noProof/>
                <w:webHidden/>
              </w:rPr>
              <w:fldChar w:fldCharType="begin"/>
            </w:r>
            <w:r w:rsidR="00AA3AE6">
              <w:rPr>
                <w:noProof/>
                <w:webHidden/>
              </w:rPr>
              <w:instrText xml:space="preserve"> PAGEREF _Toc36133458 \h </w:instrText>
            </w:r>
            <w:r w:rsidR="00AA3AE6">
              <w:rPr>
                <w:noProof/>
                <w:webHidden/>
              </w:rPr>
            </w:r>
            <w:r w:rsidR="00AA3AE6">
              <w:rPr>
                <w:noProof/>
                <w:webHidden/>
              </w:rPr>
              <w:fldChar w:fldCharType="separate"/>
            </w:r>
            <w:r w:rsidR="00AA3AE6">
              <w:rPr>
                <w:noProof/>
                <w:webHidden/>
              </w:rPr>
              <w:t>5</w:t>
            </w:r>
            <w:r w:rsidR="00AA3AE6">
              <w:rPr>
                <w:noProof/>
                <w:webHidden/>
              </w:rPr>
              <w:fldChar w:fldCharType="end"/>
            </w:r>
          </w:hyperlink>
        </w:p>
        <w:p w14:paraId="1F5A9F5C" w14:textId="77777777" w:rsidR="00AA3AE6" w:rsidRDefault="0030271A">
          <w:pPr>
            <w:pStyle w:val="Inhopg1"/>
            <w:tabs>
              <w:tab w:val="left" w:pos="400"/>
              <w:tab w:val="right" w:leader="dot" w:pos="9062"/>
            </w:tabs>
            <w:rPr>
              <w:rFonts w:asciiTheme="minorHAnsi" w:eastAsiaTheme="minorEastAsia" w:hAnsiTheme="minorHAnsi" w:cstheme="minorBidi"/>
              <w:noProof/>
              <w:sz w:val="22"/>
              <w:szCs w:val="22"/>
              <w:lang w:eastAsia="nl-NL"/>
            </w:rPr>
          </w:pPr>
          <w:hyperlink w:anchor="_Toc36133459" w:history="1">
            <w:r w:rsidR="00AA3AE6" w:rsidRPr="00464159">
              <w:rPr>
                <w:rStyle w:val="Hyperlink"/>
                <w:noProof/>
              </w:rPr>
              <w:t>3</w:t>
            </w:r>
            <w:r w:rsidR="00AA3AE6">
              <w:rPr>
                <w:rFonts w:asciiTheme="minorHAnsi" w:eastAsiaTheme="minorEastAsia" w:hAnsiTheme="minorHAnsi" w:cstheme="minorBidi"/>
                <w:noProof/>
                <w:sz w:val="22"/>
                <w:szCs w:val="22"/>
                <w:lang w:eastAsia="nl-NL"/>
              </w:rPr>
              <w:tab/>
            </w:r>
            <w:r w:rsidR="00AA3AE6" w:rsidRPr="00464159">
              <w:rPr>
                <w:rStyle w:val="Hyperlink"/>
                <w:noProof/>
              </w:rPr>
              <w:t>Economische uitgangspunten</w:t>
            </w:r>
            <w:r w:rsidR="00AA3AE6">
              <w:rPr>
                <w:noProof/>
                <w:webHidden/>
              </w:rPr>
              <w:tab/>
            </w:r>
            <w:r w:rsidR="00AA3AE6">
              <w:rPr>
                <w:noProof/>
                <w:webHidden/>
              </w:rPr>
              <w:fldChar w:fldCharType="begin"/>
            </w:r>
            <w:r w:rsidR="00AA3AE6">
              <w:rPr>
                <w:noProof/>
                <w:webHidden/>
              </w:rPr>
              <w:instrText xml:space="preserve"> PAGEREF _Toc36133459 \h </w:instrText>
            </w:r>
            <w:r w:rsidR="00AA3AE6">
              <w:rPr>
                <w:noProof/>
                <w:webHidden/>
              </w:rPr>
            </w:r>
            <w:r w:rsidR="00AA3AE6">
              <w:rPr>
                <w:noProof/>
                <w:webHidden/>
              </w:rPr>
              <w:fldChar w:fldCharType="separate"/>
            </w:r>
            <w:r w:rsidR="00AA3AE6">
              <w:rPr>
                <w:noProof/>
                <w:webHidden/>
              </w:rPr>
              <w:t>6</w:t>
            </w:r>
            <w:r w:rsidR="00AA3AE6">
              <w:rPr>
                <w:noProof/>
                <w:webHidden/>
              </w:rPr>
              <w:fldChar w:fldCharType="end"/>
            </w:r>
          </w:hyperlink>
        </w:p>
        <w:p w14:paraId="72A05FF7" w14:textId="77777777" w:rsidR="00AA3AE6" w:rsidRDefault="0030271A">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36133460" w:history="1">
            <w:r w:rsidR="00AA3AE6" w:rsidRPr="00464159">
              <w:rPr>
                <w:rStyle w:val="Hyperlink"/>
                <w:noProof/>
              </w:rPr>
              <w:t>3.1</w:t>
            </w:r>
            <w:r w:rsidR="00AA3AE6">
              <w:rPr>
                <w:rFonts w:asciiTheme="minorHAnsi" w:eastAsiaTheme="minorEastAsia" w:hAnsiTheme="minorHAnsi" w:cstheme="minorBidi"/>
                <w:noProof/>
                <w:sz w:val="22"/>
                <w:szCs w:val="22"/>
                <w:lang w:eastAsia="nl-NL"/>
              </w:rPr>
              <w:tab/>
            </w:r>
            <w:r w:rsidR="00AA3AE6" w:rsidRPr="00464159">
              <w:rPr>
                <w:rStyle w:val="Hyperlink"/>
                <w:noProof/>
              </w:rPr>
              <w:t>Te hanteren aanbestedingsprocedures</w:t>
            </w:r>
            <w:r w:rsidR="00AA3AE6">
              <w:rPr>
                <w:noProof/>
                <w:webHidden/>
              </w:rPr>
              <w:tab/>
            </w:r>
            <w:r w:rsidR="00AA3AE6">
              <w:rPr>
                <w:noProof/>
                <w:webHidden/>
              </w:rPr>
              <w:fldChar w:fldCharType="begin"/>
            </w:r>
            <w:r w:rsidR="00AA3AE6">
              <w:rPr>
                <w:noProof/>
                <w:webHidden/>
              </w:rPr>
              <w:instrText xml:space="preserve"> PAGEREF _Toc36133460 \h </w:instrText>
            </w:r>
            <w:r w:rsidR="00AA3AE6">
              <w:rPr>
                <w:noProof/>
                <w:webHidden/>
              </w:rPr>
            </w:r>
            <w:r w:rsidR="00AA3AE6">
              <w:rPr>
                <w:noProof/>
                <w:webHidden/>
              </w:rPr>
              <w:fldChar w:fldCharType="separate"/>
            </w:r>
            <w:r w:rsidR="00AA3AE6">
              <w:rPr>
                <w:noProof/>
                <w:webHidden/>
              </w:rPr>
              <w:t>6</w:t>
            </w:r>
            <w:r w:rsidR="00AA3AE6">
              <w:rPr>
                <w:noProof/>
                <w:webHidden/>
              </w:rPr>
              <w:fldChar w:fldCharType="end"/>
            </w:r>
          </w:hyperlink>
        </w:p>
        <w:p w14:paraId="0D8E74E1" w14:textId="77777777" w:rsidR="00AA3AE6" w:rsidRDefault="0030271A">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36133461" w:history="1">
            <w:r w:rsidR="00AA3AE6" w:rsidRPr="00464159">
              <w:rPr>
                <w:rStyle w:val="Hyperlink"/>
                <w:noProof/>
              </w:rPr>
              <w:t>3.2</w:t>
            </w:r>
            <w:r w:rsidR="00AA3AE6">
              <w:rPr>
                <w:rFonts w:asciiTheme="minorHAnsi" w:eastAsiaTheme="minorEastAsia" w:hAnsiTheme="minorHAnsi" w:cstheme="minorBidi"/>
                <w:noProof/>
                <w:sz w:val="22"/>
                <w:szCs w:val="22"/>
                <w:lang w:eastAsia="nl-NL"/>
              </w:rPr>
              <w:tab/>
            </w:r>
            <w:r w:rsidR="00AA3AE6" w:rsidRPr="00464159">
              <w:rPr>
                <w:rStyle w:val="Hyperlink"/>
                <w:noProof/>
              </w:rPr>
              <w:t>Te hanteren selectie- en gunningscriteria</w:t>
            </w:r>
            <w:r w:rsidR="00AA3AE6">
              <w:rPr>
                <w:noProof/>
                <w:webHidden/>
              </w:rPr>
              <w:tab/>
            </w:r>
            <w:r w:rsidR="00AA3AE6">
              <w:rPr>
                <w:noProof/>
                <w:webHidden/>
              </w:rPr>
              <w:fldChar w:fldCharType="begin"/>
            </w:r>
            <w:r w:rsidR="00AA3AE6">
              <w:rPr>
                <w:noProof/>
                <w:webHidden/>
              </w:rPr>
              <w:instrText xml:space="preserve"> PAGEREF _Toc36133461 \h </w:instrText>
            </w:r>
            <w:r w:rsidR="00AA3AE6">
              <w:rPr>
                <w:noProof/>
                <w:webHidden/>
              </w:rPr>
            </w:r>
            <w:r w:rsidR="00AA3AE6">
              <w:rPr>
                <w:noProof/>
                <w:webHidden/>
              </w:rPr>
              <w:fldChar w:fldCharType="separate"/>
            </w:r>
            <w:r w:rsidR="00AA3AE6">
              <w:rPr>
                <w:noProof/>
                <w:webHidden/>
              </w:rPr>
              <w:t>9</w:t>
            </w:r>
            <w:r w:rsidR="00AA3AE6">
              <w:rPr>
                <w:noProof/>
                <w:webHidden/>
              </w:rPr>
              <w:fldChar w:fldCharType="end"/>
            </w:r>
          </w:hyperlink>
        </w:p>
        <w:p w14:paraId="2D268FD1" w14:textId="77777777" w:rsidR="00AA3AE6" w:rsidRDefault="0030271A">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36133462" w:history="1">
            <w:r w:rsidR="00AA3AE6" w:rsidRPr="00464159">
              <w:rPr>
                <w:rStyle w:val="Hyperlink"/>
                <w:noProof/>
              </w:rPr>
              <w:t>3.3</w:t>
            </w:r>
            <w:r w:rsidR="00AA3AE6">
              <w:rPr>
                <w:rFonts w:asciiTheme="minorHAnsi" w:eastAsiaTheme="minorEastAsia" w:hAnsiTheme="minorHAnsi" w:cstheme="minorBidi"/>
                <w:noProof/>
                <w:sz w:val="22"/>
                <w:szCs w:val="22"/>
                <w:lang w:eastAsia="nl-NL"/>
              </w:rPr>
              <w:tab/>
            </w:r>
            <w:r w:rsidR="00AA3AE6" w:rsidRPr="00464159">
              <w:rPr>
                <w:rStyle w:val="Hyperlink"/>
                <w:noProof/>
              </w:rPr>
              <w:t>Lokaal en regionaal leveranciersbeleid</w:t>
            </w:r>
            <w:r w:rsidR="00AA3AE6">
              <w:rPr>
                <w:noProof/>
                <w:webHidden/>
              </w:rPr>
              <w:tab/>
            </w:r>
            <w:r w:rsidR="00AA3AE6">
              <w:rPr>
                <w:noProof/>
                <w:webHidden/>
              </w:rPr>
              <w:fldChar w:fldCharType="begin"/>
            </w:r>
            <w:r w:rsidR="00AA3AE6">
              <w:rPr>
                <w:noProof/>
                <w:webHidden/>
              </w:rPr>
              <w:instrText xml:space="preserve"> PAGEREF _Toc36133462 \h </w:instrText>
            </w:r>
            <w:r w:rsidR="00AA3AE6">
              <w:rPr>
                <w:noProof/>
                <w:webHidden/>
              </w:rPr>
            </w:r>
            <w:r w:rsidR="00AA3AE6">
              <w:rPr>
                <w:noProof/>
                <w:webHidden/>
              </w:rPr>
              <w:fldChar w:fldCharType="separate"/>
            </w:r>
            <w:r w:rsidR="00AA3AE6">
              <w:rPr>
                <w:noProof/>
                <w:webHidden/>
              </w:rPr>
              <w:t>10</w:t>
            </w:r>
            <w:r w:rsidR="00AA3AE6">
              <w:rPr>
                <w:noProof/>
                <w:webHidden/>
              </w:rPr>
              <w:fldChar w:fldCharType="end"/>
            </w:r>
          </w:hyperlink>
        </w:p>
        <w:p w14:paraId="3B68019E" w14:textId="77777777" w:rsidR="00AA3AE6" w:rsidRDefault="0030271A">
          <w:pPr>
            <w:pStyle w:val="Inhopg1"/>
            <w:tabs>
              <w:tab w:val="left" w:pos="400"/>
              <w:tab w:val="right" w:leader="dot" w:pos="9062"/>
            </w:tabs>
            <w:rPr>
              <w:rFonts w:asciiTheme="minorHAnsi" w:eastAsiaTheme="minorEastAsia" w:hAnsiTheme="minorHAnsi" w:cstheme="minorBidi"/>
              <w:noProof/>
              <w:sz w:val="22"/>
              <w:szCs w:val="22"/>
              <w:lang w:eastAsia="nl-NL"/>
            </w:rPr>
          </w:pPr>
          <w:hyperlink w:anchor="_Toc36133463" w:history="1">
            <w:r w:rsidR="00AA3AE6" w:rsidRPr="00464159">
              <w:rPr>
                <w:rStyle w:val="Hyperlink"/>
                <w:noProof/>
              </w:rPr>
              <w:t>4</w:t>
            </w:r>
            <w:r w:rsidR="00AA3AE6">
              <w:rPr>
                <w:rFonts w:asciiTheme="minorHAnsi" w:eastAsiaTheme="minorEastAsia" w:hAnsiTheme="minorHAnsi" w:cstheme="minorBidi"/>
                <w:noProof/>
                <w:sz w:val="22"/>
                <w:szCs w:val="22"/>
                <w:lang w:eastAsia="nl-NL"/>
              </w:rPr>
              <w:tab/>
            </w:r>
            <w:r w:rsidR="00AA3AE6" w:rsidRPr="00464159">
              <w:rPr>
                <w:rStyle w:val="Hyperlink"/>
                <w:noProof/>
              </w:rPr>
              <w:t>Organisatorische uitgangspunten</w:t>
            </w:r>
            <w:r w:rsidR="00AA3AE6">
              <w:rPr>
                <w:noProof/>
                <w:webHidden/>
              </w:rPr>
              <w:tab/>
            </w:r>
            <w:r w:rsidR="00AA3AE6">
              <w:rPr>
                <w:noProof/>
                <w:webHidden/>
              </w:rPr>
              <w:fldChar w:fldCharType="begin"/>
            </w:r>
            <w:r w:rsidR="00AA3AE6">
              <w:rPr>
                <w:noProof/>
                <w:webHidden/>
              </w:rPr>
              <w:instrText xml:space="preserve"> PAGEREF _Toc36133463 \h </w:instrText>
            </w:r>
            <w:r w:rsidR="00AA3AE6">
              <w:rPr>
                <w:noProof/>
                <w:webHidden/>
              </w:rPr>
            </w:r>
            <w:r w:rsidR="00AA3AE6">
              <w:rPr>
                <w:noProof/>
                <w:webHidden/>
              </w:rPr>
              <w:fldChar w:fldCharType="separate"/>
            </w:r>
            <w:r w:rsidR="00AA3AE6">
              <w:rPr>
                <w:noProof/>
                <w:webHidden/>
              </w:rPr>
              <w:t>11</w:t>
            </w:r>
            <w:r w:rsidR="00AA3AE6">
              <w:rPr>
                <w:noProof/>
                <w:webHidden/>
              </w:rPr>
              <w:fldChar w:fldCharType="end"/>
            </w:r>
          </w:hyperlink>
        </w:p>
        <w:p w14:paraId="2012E92F" w14:textId="77777777" w:rsidR="00AA3AE6" w:rsidRDefault="0030271A">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36133464" w:history="1">
            <w:r w:rsidR="00AA3AE6" w:rsidRPr="00464159">
              <w:rPr>
                <w:rStyle w:val="Hyperlink"/>
                <w:noProof/>
              </w:rPr>
              <w:t>4.1</w:t>
            </w:r>
            <w:r w:rsidR="00AA3AE6">
              <w:rPr>
                <w:rFonts w:asciiTheme="minorHAnsi" w:eastAsiaTheme="minorEastAsia" w:hAnsiTheme="minorHAnsi" w:cstheme="minorBidi"/>
                <w:noProof/>
                <w:sz w:val="22"/>
                <w:szCs w:val="22"/>
                <w:lang w:eastAsia="nl-NL"/>
              </w:rPr>
              <w:tab/>
            </w:r>
            <w:r w:rsidR="00AA3AE6" w:rsidRPr="00464159">
              <w:rPr>
                <w:rStyle w:val="Hyperlink"/>
                <w:noProof/>
              </w:rPr>
              <w:t>Inkooporganisatie en samenwerking</w:t>
            </w:r>
            <w:r w:rsidR="00AA3AE6">
              <w:rPr>
                <w:noProof/>
                <w:webHidden/>
              </w:rPr>
              <w:tab/>
            </w:r>
            <w:r w:rsidR="00AA3AE6">
              <w:rPr>
                <w:noProof/>
                <w:webHidden/>
              </w:rPr>
              <w:fldChar w:fldCharType="begin"/>
            </w:r>
            <w:r w:rsidR="00AA3AE6">
              <w:rPr>
                <w:noProof/>
                <w:webHidden/>
              </w:rPr>
              <w:instrText xml:space="preserve"> PAGEREF _Toc36133464 \h </w:instrText>
            </w:r>
            <w:r w:rsidR="00AA3AE6">
              <w:rPr>
                <w:noProof/>
                <w:webHidden/>
              </w:rPr>
            </w:r>
            <w:r w:rsidR="00AA3AE6">
              <w:rPr>
                <w:noProof/>
                <w:webHidden/>
              </w:rPr>
              <w:fldChar w:fldCharType="separate"/>
            </w:r>
            <w:r w:rsidR="00AA3AE6">
              <w:rPr>
                <w:noProof/>
                <w:webHidden/>
              </w:rPr>
              <w:t>11</w:t>
            </w:r>
            <w:r w:rsidR="00AA3AE6">
              <w:rPr>
                <w:noProof/>
                <w:webHidden/>
              </w:rPr>
              <w:fldChar w:fldCharType="end"/>
            </w:r>
          </w:hyperlink>
        </w:p>
        <w:p w14:paraId="1088814D" w14:textId="77777777" w:rsidR="00AA3AE6" w:rsidRDefault="0030271A">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36133465" w:history="1">
            <w:r w:rsidR="00AA3AE6" w:rsidRPr="00464159">
              <w:rPr>
                <w:rStyle w:val="Hyperlink"/>
                <w:noProof/>
              </w:rPr>
              <w:t>4.2</w:t>
            </w:r>
            <w:r w:rsidR="00AA3AE6">
              <w:rPr>
                <w:rFonts w:asciiTheme="minorHAnsi" w:eastAsiaTheme="minorEastAsia" w:hAnsiTheme="minorHAnsi" w:cstheme="minorBidi"/>
                <w:noProof/>
                <w:sz w:val="22"/>
                <w:szCs w:val="22"/>
                <w:lang w:eastAsia="nl-NL"/>
              </w:rPr>
              <w:tab/>
            </w:r>
            <w:r w:rsidR="00AA3AE6" w:rsidRPr="00464159">
              <w:rPr>
                <w:rStyle w:val="Hyperlink"/>
                <w:noProof/>
              </w:rPr>
              <w:t>Inkoopmodel</w:t>
            </w:r>
            <w:r w:rsidR="00AA3AE6">
              <w:rPr>
                <w:noProof/>
                <w:webHidden/>
              </w:rPr>
              <w:tab/>
            </w:r>
            <w:r w:rsidR="00AA3AE6">
              <w:rPr>
                <w:noProof/>
                <w:webHidden/>
              </w:rPr>
              <w:fldChar w:fldCharType="begin"/>
            </w:r>
            <w:r w:rsidR="00AA3AE6">
              <w:rPr>
                <w:noProof/>
                <w:webHidden/>
              </w:rPr>
              <w:instrText xml:space="preserve"> PAGEREF _Toc36133465 \h </w:instrText>
            </w:r>
            <w:r w:rsidR="00AA3AE6">
              <w:rPr>
                <w:noProof/>
                <w:webHidden/>
              </w:rPr>
            </w:r>
            <w:r w:rsidR="00AA3AE6">
              <w:rPr>
                <w:noProof/>
                <w:webHidden/>
              </w:rPr>
              <w:fldChar w:fldCharType="separate"/>
            </w:r>
            <w:r w:rsidR="00AA3AE6">
              <w:rPr>
                <w:noProof/>
                <w:webHidden/>
              </w:rPr>
              <w:t>11</w:t>
            </w:r>
            <w:r w:rsidR="00AA3AE6">
              <w:rPr>
                <w:noProof/>
                <w:webHidden/>
              </w:rPr>
              <w:fldChar w:fldCharType="end"/>
            </w:r>
          </w:hyperlink>
        </w:p>
        <w:p w14:paraId="5FD5168D" w14:textId="77777777" w:rsidR="00AA3AE6" w:rsidRDefault="0030271A">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36133466" w:history="1">
            <w:r w:rsidR="00AA3AE6" w:rsidRPr="00464159">
              <w:rPr>
                <w:rStyle w:val="Hyperlink"/>
                <w:noProof/>
              </w:rPr>
              <w:t>4.3</w:t>
            </w:r>
            <w:r w:rsidR="00AA3AE6">
              <w:rPr>
                <w:rFonts w:asciiTheme="minorHAnsi" w:eastAsiaTheme="minorEastAsia" w:hAnsiTheme="minorHAnsi" w:cstheme="minorBidi"/>
                <w:noProof/>
                <w:sz w:val="22"/>
                <w:szCs w:val="22"/>
                <w:lang w:eastAsia="nl-NL"/>
              </w:rPr>
              <w:tab/>
            </w:r>
            <w:r w:rsidR="00AA3AE6" w:rsidRPr="00464159">
              <w:rPr>
                <w:rStyle w:val="Hyperlink"/>
                <w:noProof/>
              </w:rPr>
              <w:t>Inkoopproces</w:t>
            </w:r>
            <w:r w:rsidR="00AA3AE6">
              <w:rPr>
                <w:noProof/>
                <w:webHidden/>
              </w:rPr>
              <w:tab/>
            </w:r>
            <w:r w:rsidR="00AA3AE6">
              <w:rPr>
                <w:noProof/>
                <w:webHidden/>
              </w:rPr>
              <w:fldChar w:fldCharType="begin"/>
            </w:r>
            <w:r w:rsidR="00AA3AE6">
              <w:rPr>
                <w:noProof/>
                <w:webHidden/>
              </w:rPr>
              <w:instrText xml:space="preserve"> PAGEREF _Toc36133466 \h </w:instrText>
            </w:r>
            <w:r w:rsidR="00AA3AE6">
              <w:rPr>
                <w:noProof/>
                <w:webHidden/>
              </w:rPr>
            </w:r>
            <w:r w:rsidR="00AA3AE6">
              <w:rPr>
                <w:noProof/>
                <w:webHidden/>
              </w:rPr>
              <w:fldChar w:fldCharType="separate"/>
            </w:r>
            <w:r w:rsidR="00AA3AE6">
              <w:rPr>
                <w:noProof/>
                <w:webHidden/>
              </w:rPr>
              <w:t>11</w:t>
            </w:r>
            <w:r w:rsidR="00AA3AE6">
              <w:rPr>
                <w:noProof/>
                <w:webHidden/>
              </w:rPr>
              <w:fldChar w:fldCharType="end"/>
            </w:r>
          </w:hyperlink>
        </w:p>
        <w:p w14:paraId="0CCF062D" w14:textId="77777777" w:rsidR="00AA3AE6" w:rsidRDefault="0030271A">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36133467" w:history="1">
            <w:r w:rsidR="00AA3AE6" w:rsidRPr="00464159">
              <w:rPr>
                <w:rStyle w:val="Hyperlink"/>
                <w:noProof/>
              </w:rPr>
              <w:t>4.4</w:t>
            </w:r>
            <w:r w:rsidR="00AA3AE6">
              <w:rPr>
                <w:rFonts w:asciiTheme="minorHAnsi" w:eastAsiaTheme="minorEastAsia" w:hAnsiTheme="minorHAnsi" w:cstheme="minorBidi"/>
                <w:noProof/>
                <w:sz w:val="22"/>
                <w:szCs w:val="22"/>
                <w:lang w:eastAsia="nl-NL"/>
              </w:rPr>
              <w:tab/>
            </w:r>
            <w:r w:rsidR="00AA3AE6" w:rsidRPr="00464159">
              <w:rPr>
                <w:rStyle w:val="Hyperlink"/>
                <w:noProof/>
              </w:rPr>
              <w:t>Herijking inkoop- en aanbestedingsbeleid</w:t>
            </w:r>
            <w:r w:rsidR="00AA3AE6">
              <w:rPr>
                <w:noProof/>
                <w:webHidden/>
              </w:rPr>
              <w:tab/>
            </w:r>
            <w:r w:rsidR="00AA3AE6">
              <w:rPr>
                <w:noProof/>
                <w:webHidden/>
              </w:rPr>
              <w:fldChar w:fldCharType="begin"/>
            </w:r>
            <w:r w:rsidR="00AA3AE6">
              <w:rPr>
                <w:noProof/>
                <w:webHidden/>
              </w:rPr>
              <w:instrText xml:space="preserve"> PAGEREF _Toc36133467 \h </w:instrText>
            </w:r>
            <w:r w:rsidR="00AA3AE6">
              <w:rPr>
                <w:noProof/>
                <w:webHidden/>
              </w:rPr>
            </w:r>
            <w:r w:rsidR="00AA3AE6">
              <w:rPr>
                <w:noProof/>
                <w:webHidden/>
              </w:rPr>
              <w:fldChar w:fldCharType="separate"/>
            </w:r>
            <w:r w:rsidR="00AA3AE6">
              <w:rPr>
                <w:noProof/>
                <w:webHidden/>
              </w:rPr>
              <w:t>14</w:t>
            </w:r>
            <w:r w:rsidR="00AA3AE6">
              <w:rPr>
                <w:noProof/>
                <w:webHidden/>
              </w:rPr>
              <w:fldChar w:fldCharType="end"/>
            </w:r>
          </w:hyperlink>
        </w:p>
        <w:p w14:paraId="7D2CB5D9" w14:textId="77777777" w:rsidR="00AA3AE6" w:rsidRDefault="0030271A">
          <w:pPr>
            <w:pStyle w:val="Inhopg3"/>
            <w:tabs>
              <w:tab w:val="right" w:leader="dot" w:pos="9062"/>
            </w:tabs>
            <w:rPr>
              <w:rFonts w:asciiTheme="minorHAnsi" w:eastAsiaTheme="minorEastAsia" w:hAnsiTheme="minorHAnsi" w:cstheme="minorBidi"/>
              <w:noProof/>
              <w:sz w:val="22"/>
              <w:szCs w:val="22"/>
              <w:lang w:eastAsia="nl-NL"/>
            </w:rPr>
          </w:pPr>
          <w:hyperlink w:anchor="_Toc36133468" w:history="1">
            <w:r w:rsidR="00AA3AE6" w:rsidRPr="00464159">
              <w:rPr>
                <w:rStyle w:val="Hyperlink"/>
                <w:noProof/>
              </w:rPr>
              <w:t>Bijlage 1 Begripsbepaling</w:t>
            </w:r>
            <w:r w:rsidR="00AA3AE6">
              <w:rPr>
                <w:noProof/>
                <w:webHidden/>
              </w:rPr>
              <w:tab/>
            </w:r>
            <w:r w:rsidR="00AA3AE6">
              <w:rPr>
                <w:noProof/>
                <w:webHidden/>
              </w:rPr>
              <w:fldChar w:fldCharType="begin"/>
            </w:r>
            <w:r w:rsidR="00AA3AE6">
              <w:rPr>
                <w:noProof/>
                <w:webHidden/>
              </w:rPr>
              <w:instrText xml:space="preserve"> PAGEREF _Toc36133468 \h </w:instrText>
            </w:r>
            <w:r w:rsidR="00AA3AE6">
              <w:rPr>
                <w:noProof/>
                <w:webHidden/>
              </w:rPr>
            </w:r>
            <w:r w:rsidR="00AA3AE6">
              <w:rPr>
                <w:noProof/>
                <w:webHidden/>
              </w:rPr>
              <w:fldChar w:fldCharType="separate"/>
            </w:r>
            <w:r w:rsidR="00AA3AE6">
              <w:rPr>
                <w:noProof/>
                <w:webHidden/>
              </w:rPr>
              <w:t>15</w:t>
            </w:r>
            <w:r w:rsidR="00AA3AE6">
              <w:rPr>
                <w:noProof/>
                <w:webHidden/>
              </w:rPr>
              <w:fldChar w:fldCharType="end"/>
            </w:r>
          </w:hyperlink>
        </w:p>
        <w:p w14:paraId="37494D4E" w14:textId="77777777" w:rsidR="00AA3AE6" w:rsidRDefault="0030271A">
          <w:pPr>
            <w:pStyle w:val="Inhopg3"/>
            <w:tabs>
              <w:tab w:val="right" w:leader="dot" w:pos="9062"/>
            </w:tabs>
            <w:rPr>
              <w:rFonts w:asciiTheme="minorHAnsi" w:eastAsiaTheme="minorEastAsia" w:hAnsiTheme="minorHAnsi" w:cstheme="minorBidi"/>
              <w:noProof/>
              <w:sz w:val="22"/>
              <w:szCs w:val="22"/>
              <w:lang w:eastAsia="nl-NL"/>
            </w:rPr>
          </w:pPr>
          <w:hyperlink w:anchor="_Toc36133469" w:history="1">
            <w:r w:rsidR="00AA3AE6" w:rsidRPr="00464159">
              <w:rPr>
                <w:rStyle w:val="Hyperlink"/>
                <w:noProof/>
              </w:rPr>
              <w:t>Bijlage 2 Algemene Inkoopvoorwaarden</w:t>
            </w:r>
            <w:r w:rsidR="00AA3AE6">
              <w:rPr>
                <w:noProof/>
                <w:webHidden/>
              </w:rPr>
              <w:tab/>
            </w:r>
            <w:r w:rsidR="00AA3AE6">
              <w:rPr>
                <w:noProof/>
                <w:webHidden/>
              </w:rPr>
              <w:fldChar w:fldCharType="begin"/>
            </w:r>
            <w:r w:rsidR="00AA3AE6">
              <w:rPr>
                <w:noProof/>
                <w:webHidden/>
              </w:rPr>
              <w:instrText xml:space="preserve"> PAGEREF _Toc36133469 \h </w:instrText>
            </w:r>
            <w:r w:rsidR="00AA3AE6">
              <w:rPr>
                <w:noProof/>
                <w:webHidden/>
              </w:rPr>
            </w:r>
            <w:r w:rsidR="00AA3AE6">
              <w:rPr>
                <w:noProof/>
                <w:webHidden/>
              </w:rPr>
              <w:fldChar w:fldCharType="separate"/>
            </w:r>
            <w:r w:rsidR="00AA3AE6">
              <w:rPr>
                <w:noProof/>
                <w:webHidden/>
              </w:rPr>
              <w:t>16</w:t>
            </w:r>
            <w:r w:rsidR="00AA3AE6">
              <w:rPr>
                <w:noProof/>
                <w:webHidden/>
              </w:rPr>
              <w:fldChar w:fldCharType="end"/>
            </w:r>
          </w:hyperlink>
        </w:p>
        <w:p w14:paraId="12276C66" w14:textId="77777777" w:rsidR="00AA3AE6" w:rsidRDefault="00AA3AE6">
          <w:r>
            <w:rPr>
              <w:b/>
              <w:bCs/>
            </w:rPr>
            <w:fldChar w:fldCharType="end"/>
          </w:r>
        </w:p>
      </w:sdtContent>
    </w:sdt>
    <w:p w14:paraId="0D764E57" w14:textId="77777777" w:rsidR="00AB2254" w:rsidRDefault="00AB2254">
      <w:pPr>
        <w:spacing w:after="160"/>
      </w:pPr>
      <w:r>
        <w:br w:type="page"/>
      </w:r>
    </w:p>
    <w:p w14:paraId="0EA80573" w14:textId="77777777" w:rsidR="00AB2254" w:rsidRDefault="00AB2254" w:rsidP="00D40187">
      <w:pPr>
        <w:pStyle w:val="Kop3"/>
      </w:pPr>
      <w:bookmarkStart w:id="1" w:name="_Toc36133450"/>
      <w:r>
        <w:lastRenderedPageBreak/>
        <w:t>Voorwoord</w:t>
      </w:r>
      <w:bookmarkEnd w:id="1"/>
    </w:p>
    <w:p w14:paraId="5EE5B5D6" w14:textId="77777777" w:rsidR="00AB2254" w:rsidRDefault="00AB2254" w:rsidP="00AB2254">
      <w:pPr>
        <w:spacing w:after="160"/>
      </w:pPr>
      <w:r>
        <w:t>Het inkoop- en aanbestedingsbeleid van het Dongemond college geeft de kaders en spelregels weer voor het inkopen van leveringen, diensten en werken.</w:t>
      </w:r>
    </w:p>
    <w:p w14:paraId="2D7DC143" w14:textId="77777777" w:rsidR="00AB2254" w:rsidRDefault="00AB2254" w:rsidP="00AB2254">
      <w:pPr>
        <w:spacing w:after="160"/>
      </w:pPr>
      <w:r>
        <w:t>Het Dongemond college wil een integere en betrouwbare opdrachtgever zijn die leveranciers, dienstverleners en aannemers eerlijke en gelijke kansen biedt.</w:t>
      </w:r>
    </w:p>
    <w:p w14:paraId="4C6BFE1B" w14:textId="77777777" w:rsidR="00AB2254" w:rsidRDefault="00AB2254" w:rsidP="00D40187">
      <w:pPr>
        <w:pStyle w:val="Kop3"/>
      </w:pPr>
      <w:bookmarkStart w:id="2" w:name="_Toc36133451"/>
      <w:r>
        <w:t>Inleiding</w:t>
      </w:r>
      <w:bookmarkEnd w:id="2"/>
    </w:p>
    <w:p w14:paraId="660038AF" w14:textId="77777777" w:rsidR="00AB2254" w:rsidRDefault="00AB2254" w:rsidP="00AB2254">
      <w:r>
        <w:t>Het Dongemond college is een instelling voor voortgezet onderwijs. Het Dongemond college is één school met twee locaties en drie units. Op de locaties Raamsdonksveer en Made kunnen leerlingen terecht voor de niveaus atheneum, havo en vmbo (theoretische leerweg, gemengde leerweg, kaderberoepsgerichte leerweg en basisberoepsgerichte leerweg).</w:t>
      </w:r>
    </w:p>
    <w:p w14:paraId="318B7A7A" w14:textId="77777777" w:rsidR="00AB2254" w:rsidRDefault="00AB2254" w:rsidP="00AB2254"/>
    <w:p w14:paraId="4EE6592F" w14:textId="77777777" w:rsidR="00AB2254" w:rsidRDefault="00AB2254" w:rsidP="00AB2254">
      <w:r>
        <w:t xml:space="preserve">Het inkoop- en aanbestedingsbeleid is van toepassing op de inkoop van leveringen, diensten en werken. </w:t>
      </w:r>
    </w:p>
    <w:p w14:paraId="75F8491F" w14:textId="77777777" w:rsidR="00AB2254" w:rsidRDefault="00AB2254" w:rsidP="00AB2254">
      <w:r>
        <w:t xml:space="preserve">Inkoop wordt gedefinieerd als: ‘alles waar een externe factuur tegenover staat’. </w:t>
      </w:r>
    </w:p>
    <w:p w14:paraId="511A1D6D" w14:textId="77777777" w:rsidR="00AB2254" w:rsidRDefault="00AB2254" w:rsidP="00AB2254">
      <w:r>
        <w:t>Aanbesteden is een vorm van marktbenadering waarin de opdrachtgever, na concurrentiestelling, een opdracht gunt.</w:t>
      </w:r>
    </w:p>
    <w:p w14:paraId="71E7BF7A" w14:textId="77777777" w:rsidR="00AB2254" w:rsidRDefault="00AB2254" w:rsidP="00AB2254">
      <w:r>
        <w:t xml:space="preserve">Het inkoopbeleid heeft daarom betrekking op alle inkoopprocessen, die leiden tot externe facturen. </w:t>
      </w:r>
    </w:p>
    <w:p w14:paraId="62A9A633" w14:textId="77777777" w:rsidR="00AB2254" w:rsidRDefault="00AB2254" w:rsidP="00AB2254"/>
    <w:p w14:paraId="2159EE89" w14:textId="77777777" w:rsidR="00AB2254" w:rsidRDefault="00AB2254" w:rsidP="00AB2254">
      <w:r>
        <w:lastRenderedPageBreak/>
        <w:t xml:space="preserve">Inkoop is een procesmatige activiteit. Het kan gaan om de inkoop van uiteenlopende zaken zoals ICT-hardware, lesmateriaal, (multifunctionele) afdrukapparatuur, schoolmeubilair, kantoorartikelen, maar ook het inhuren van adviesdiensten, het uitvoeren van technisch onderhoud en het bouwen van een school. </w:t>
      </w:r>
    </w:p>
    <w:p w14:paraId="1220C8DA" w14:textId="77777777" w:rsidR="00AB2254" w:rsidRDefault="00AB2254" w:rsidP="00AB2254"/>
    <w:p w14:paraId="0EC606D3" w14:textId="77777777" w:rsidR="00AB2254" w:rsidRDefault="00AB2254" w:rsidP="00AB2254">
      <w:r>
        <w:t xml:space="preserve">De inkoop wordt onderverdeeld in drie verschillende definities. Dit zijn leveringen, diensten en werken. </w:t>
      </w:r>
    </w:p>
    <w:p w14:paraId="5E0085E5" w14:textId="77777777" w:rsidR="00AB2254" w:rsidRDefault="00AB2254" w:rsidP="00AB2254">
      <w:pPr>
        <w:pStyle w:val="Lijstalinea"/>
        <w:numPr>
          <w:ilvl w:val="0"/>
          <w:numId w:val="9"/>
        </w:numPr>
      </w:pPr>
      <w:r w:rsidRPr="00AB2254">
        <w:rPr>
          <w:b/>
          <w:bCs/>
        </w:rPr>
        <w:t>Levering</w:t>
      </w:r>
      <w:r>
        <w:t xml:space="preserve">: omvat aankoop, huur, lease en huurkoop van producten. Deze zijn tastbaar en vallen niet onder een werk. </w:t>
      </w:r>
    </w:p>
    <w:p w14:paraId="551D99B3" w14:textId="77777777" w:rsidR="00AB2254" w:rsidRDefault="00AB2254" w:rsidP="00AB2254">
      <w:pPr>
        <w:pStyle w:val="Lijstalinea"/>
        <w:numPr>
          <w:ilvl w:val="0"/>
          <w:numId w:val="9"/>
        </w:numPr>
      </w:pPr>
      <w:r w:rsidRPr="00AB2254">
        <w:rPr>
          <w:b/>
          <w:bCs/>
        </w:rPr>
        <w:t>Werk</w:t>
      </w:r>
      <w:r>
        <w:t xml:space="preserve">: alle bouwkundige en civieltechnische werken. Hieronder vallen ook onderhoudswerkzaamheden. </w:t>
      </w:r>
    </w:p>
    <w:p w14:paraId="6B9E5D5D" w14:textId="77777777" w:rsidR="00AB2254" w:rsidRDefault="00AB2254" w:rsidP="00AB2254">
      <w:pPr>
        <w:pStyle w:val="Lijstalinea"/>
        <w:numPr>
          <w:ilvl w:val="0"/>
          <w:numId w:val="9"/>
        </w:numPr>
      </w:pPr>
      <w:r w:rsidRPr="00AB2254">
        <w:rPr>
          <w:b/>
          <w:bCs/>
        </w:rPr>
        <w:t>Dienst</w:t>
      </w:r>
      <w:r>
        <w:t xml:space="preserve">: alle inkopen die niet onder Werken of Leveringen vallen. </w:t>
      </w:r>
    </w:p>
    <w:p w14:paraId="3570A3DC" w14:textId="77777777" w:rsidR="00AB2254" w:rsidRDefault="00AB2254" w:rsidP="00AB2254"/>
    <w:p w14:paraId="3D4AF821" w14:textId="77777777" w:rsidR="00AB2254" w:rsidRDefault="00AB2254" w:rsidP="00AB2254">
      <w:r>
        <w:t>Het doel van het vastleggen van het inkoop- en aanbestedingsbeleid is het eenduidig en toegankelijk maken voor zowel internen als externen wat de uitgangspunten zijn die het Dongemond college hanteert bij het inrichten van haar inkoopfunctie en het uitvoeren van al haar inkooptaken.</w:t>
      </w:r>
    </w:p>
    <w:p w14:paraId="001DCF3A" w14:textId="77777777" w:rsidR="00AB2254" w:rsidRDefault="00AB2254" w:rsidP="00AB2254"/>
    <w:p w14:paraId="12A39141" w14:textId="77777777" w:rsidR="00AB2254" w:rsidRDefault="00AB2254" w:rsidP="00AB2254">
      <w:r>
        <w:t xml:space="preserve">Gemeenschapsgelden dienen zo efficiënt en doelmatig mogelijk te worden ingezet. Het Dongemond college wil haar inkoopfunctie verder professionaliseren voor alle in te kopen </w:t>
      </w:r>
      <w:r>
        <w:lastRenderedPageBreak/>
        <w:t xml:space="preserve">leveringen, werken of diensten. Dit betekent dat de inkopen effectief en efficiënt worden ingekocht, voldoen aan de vigerende wet- en regelgeving, en dat het inkoopproces transparant, objectief en non-discriminatoir verloopt. </w:t>
      </w:r>
    </w:p>
    <w:p w14:paraId="28083266" w14:textId="77777777" w:rsidR="00AB2254" w:rsidRDefault="00AB2254" w:rsidP="00AB2254"/>
    <w:p w14:paraId="5D823559" w14:textId="77777777" w:rsidR="00AB2254" w:rsidRDefault="00AB2254" w:rsidP="00AB2254">
      <w:r>
        <w:t>Het inkoop- en aanbestedingsbeleid is weergegeven vanuit vier invalshoeken: juridisch, organisatorisch, maatschappelijk en economisch. Deze invalshoeken zijn in de volgende paragrafen uiteengezet.</w:t>
      </w:r>
    </w:p>
    <w:p w14:paraId="67456F85" w14:textId="77777777" w:rsidR="006A545A" w:rsidRDefault="006A545A">
      <w:pPr>
        <w:spacing w:after="160"/>
      </w:pPr>
      <w:r>
        <w:br w:type="page"/>
      </w:r>
    </w:p>
    <w:p w14:paraId="6DD43980" w14:textId="77777777" w:rsidR="006A545A" w:rsidRDefault="006A545A" w:rsidP="006A545A">
      <w:pPr>
        <w:pStyle w:val="Kop1"/>
      </w:pPr>
      <w:bookmarkStart w:id="3" w:name="_Toc36133452"/>
      <w:r>
        <w:lastRenderedPageBreak/>
        <w:t>Juridische uitgangspunten</w:t>
      </w:r>
      <w:bookmarkEnd w:id="3"/>
    </w:p>
    <w:p w14:paraId="01AECAD5" w14:textId="77777777" w:rsidR="006A545A" w:rsidRDefault="006A545A" w:rsidP="00D40187">
      <w:pPr>
        <w:pStyle w:val="Kop2"/>
      </w:pPr>
      <w:bookmarkStart w:id="4" w:name="_Toc36133453"/>
      <w:r>
        <w:t>Wet- en regelgeving</w:t>
      </w:r>
      <w:bookmarkEnd w:id="4"/>
    </w:p>
    <w:p w14:paraId="29A7ED13" w14:textId="2B6EE690" w:rsidR="006A545A" w:rsidRDefault="006A545A" w:rsidP="006A545A">
      <w:r>
        <w:t xml:space="preserve">Het Dongemond college is verplicht tot naleving van nationale en Europese wet- en regelgeving. Dit geldt voor alle inkopen (leveringen, diensten en werken). Aanbestedingen </w:t>
      </w:r>
      <w:r w:rsidR="00764146">
        <w:t>di</w:t>
      </w:r>
      <w:r>
        <w:t>e vallen onder de werkingssfeer van de Europese richtlijn voor overheidsopdrachten dienen conform vigerende richtlijnen te worden aanbesteed. Binnen Nederland is de Aanbestedingswet 2012</w:t>
      </w:r>
      <w:r w:rsidR="00842C6E">
        <w:rPr>
          <w:rStyle w:val="Voetnootmarkering"/>
        </w:rPr>
        <w:footnoteReference w:id="1"/>
      </w:r>
      <w:r w:rsidR="00842C6E">
        <w:t xml:space="preserve"> </w:t>
      </w:r>
      <w:r>
        <w:t xml:space="preserve">van kracht.  </w:t>
      </w:r>
    </w:p>
    <w:p w14:paraId="2A3EC560" w14:textId="77777777" w:rsidR="006D5878" w:rsidRDefault="006D5878" w:rsidP="006A545A"/>
    <w:p w14:paraId="4526CBB1" w14:textId="77777777" w:rsidR="006A545A" w:rsidRDefault="006A545A" w:rsidP="00D40187">
      <w:pPr>
        <w:pStyle w:val="Kop2"/>
      </w:pPr>
      <w:bookmarkStart w:id="5" w:name="_Toc36133454"/>
      <w:r>
        <w:t>Transparantie, objectiviteit, non-discriminatie en proportionaliteit</w:t>
      </w:r>
      <w:bookmarkEnd w:id="5"/>
    </w:p>
    <w:p w14:paraId="7C611AA4" w14:textId="77777777" w:rsidR="006A545A" w:rsidRDefault="006A545A" w:rsidP="006A545A">
      <w:r>
        <w:t>De beginselen van de Europese aanbestedingsrichtlijnen zijn transparantie, objectiviteit, non-discriminatie en proportionaliteit</w:t>
      </w:r>
      <w:r w:rsidR="006D5878">
        <w:rPr>
          <w:rStyle w:val="Voetnootmarkering"/>
        </w:rPr>
        <w:footnoteReference w:id="2"/>
      </w:r>
      <w:r>
        <w:t xml:space="preserve"> . Deze beginselen hanteert het Dongemond college voor al haar inkopen, zowel onder als boven de drempelbedragen voor Europees aanbesteden. Een belangrijke randvoorwaarde is dat de inspanning die noodzakelijk is om aan deze beginselen te kunnen voldoen, past bij de grootte van de inkopen. In hoofdstuk 3 wordt dit nader ingevuld.</w:t>
      </w:r>
    </w:p>
    <w:p w14:paraId="34480183" w14:textId="77777777" w:rsidR="006D5878" w:rsidRDefault="006D5878" w:rsidP="006A545A"/>
    <w:p w14:paraId="496EC2D9" w14:textId="77777777" w:rsidR="006A545A" w:rsidRDefault="006A545A" w:rsidP="00D40187">
      <w:pPr>
        <w:pStyle w:val="Kop2"/>
      </w:pPr>
      <w:bookmarkStart w:id="6" w:name="_Toc36133455"/>
      <w:r>
        <w:lastRenderedPageBreak/>
        <w:t>Algemene Inkoopvoorwaarden</w:t>
      </w:r>
      <w:bookmarkEnd w:id="6"/>
    </w:p>
    <w:p w14:paraId="3935EAE1" w14:textId="77777777" w:rsidR="006A545A" w:rsidRDefault="006A545A" w:rsidP="006A545A">
      <w:r>
        <w:t>Het Dongemond college hanteert haar eigen Algemene Inkoopvoorwaarden (Bijlage 2). In beginsel zijn deze van toepassing op alle inkooptransacties en/of te sluiten overeenkomsten. Voor inkopen waarvoor in de branche gebruikelijke algemene voorwaarden correct en redelijk zijn, kan worden besloten om in te stemmen met de toepasselijkheid daarvan. Uitzonderingen op deze regel kunnen na overleg eventueel juridisch worden getoetst.</w:t>
      </w:r>
    </w:p>
    <w:p w14:paraId="648090BA" w14:textId="77777777" w:rsidR="006A545A" w:rsidRDefault="006A545A" w:rsidP="006A545A"/>
    <w:p w14:paraId="333D2B5A" w14:textId="77777777" w:rsidR="006A545A" w:rsidRDefault="006A545A" w:rsidP="006A545A">
      <w:r>
        <w:t xml:space="preserve">Wanneer het Dongemond college en ondernemer ieder verwijzen naar de eigen voorwaarden, komt in beginsel aan de eerste verwijzing prioriteit toe. </w:t>
      </w:r>
    </w:p>
    <w:p w14:paraId="4CB4F83B" w14:textId="77777777" w:rsidR="006A545A" w:rsidRDefault="006A545A" w:rsidP="006A545A"/>
    <w:p w14:paraId="55A3D5C9" w14:textId="77777777" w:rsidR="006A545A" w:rsidRDefault="006A545A" w:rsidP="006A545A">
      <w:r>
        <w:t>Het is dus zaak om bij een offerteaanvraag te verwijzen naar de toepasselijkheid van de door het Dongemond college gehanteerde Algemene Inkoopvoorwaarden.</w:t>
      </w:r>
    </w:p>
    <w:p w14:paraId="094D5E82" w14:textId="77777777" w:rsidR="006A545A" w:rsidRDefault="006A545A" w:rsidP="006A545A"/>
    <w:p w14:paraId="782F5693" w14:textId="77777777" w:rsidR="006A545A" w:rsidRDefault="006A545A" w:rsidP="006A545A">
      <w:r>
        <w:t xml:space="preserve">Uitdrukkelijk afwijzen gebeurt expliciet en schriftelijk. Als bij de afwijzing door de ondernemer van de door het Dongemond college gehanteerde Algemene Inkoopvoorwaarden tevens verwezen wordt naar de eigen leveringsvoorwaarden van de offrerende ondernemer, dan zijn deze toepasbaar, tenzij het Dongemond college in reactie hierop te kennen geeft onder die omstandigheden niet tot daadwerkelijke overeenkomst te willen overgaan. </w:t>
      </w:r>
    </w:p>
    <w:p w14:paraId="4B192BD4" w14:textId="77777777" w:rsidR="006A545A" w:rsidRDefault="006A545A" w:rsidP="006A545A">
      <w:r>
        <w:t xml:space="preserve">Partijen kunnen dan alsnog bezien of zij in nadere onderhandeling wellicht tot nadere afspraken hieromtrent kunnen komen. Indien bij de afwijzing van de door het Dongemond college gehanteerde Algemene Inkoopvoorwaarden door de ondernemer niet naar zijn eigen verkoop- en leveringsvoorwaarden wordt verwezen is géén van de algemene voorwaarden </w:t>
      </w:r>
      <w:r>
        <w:lastRenderedPageBreak/>
        <w:t>toepasselijk en is het dwingend recht toepasbaar, tenzij partijen ook in die situatie in onderhandeling tot nadere inhoudelijke en schriftelijk vastgelegde afspraken komen.</w:t>
      </w:r>
    </w:p>
    <w:p w14:paraId="1FB3498C" w14:textId="77777777" w:rsidR="006A545A" w:rsidRDefault="006A545A" w:rsidP="006A545A">
      <w:r>
        <w:t> </w:t>
      </w:r>
    </w:p>
    <w:p w14:paraId="3C19380E" w14:textId="77777777" w:rsidR="006A545A" w:rsidRDefault="006A545A" w:rsidP="006A545A">
      <w:pPr>
        <w:pStyle w:val="Kop1"/>
      </w:pPr>
      <w:bookmarkStart w:id="7" w:name="_Toc36133456"/>
      <w:bookmarkStart w:id="8" w:name="_Hlk57628529"/>
      <w:r>
        <w:t>Maatschappelijke uitgangspunten</w:t>
      </w:r>
      <w:bookmarkEnd w:id="7"/>
    </w:p>
    <w:p w14:paraId="2E8853C5" w14:textId="77777777" w:rsidR="006A545A" w:rsidRDefault="006A545A" w:rsidP="00D40187">
      <w:pPr>
        <w:pStyle w:val="Kop2"/>
      </w:pPr>
      <w:bookmarkStart w:id="9" w:name="_Toc36133457"/>
      <w:r>
        <w:t>Duurzaam inkopen</w:t>
      </w:r>
      <w:bookmarkEnd w:id="9"/>
    </w:p>
    <w:p w14:paraId="3F026882" w14:textId="1FDED9D3" w:rsidR="006A545A" w:rsidRDefault="006A545A" w:rsidP="006A545A">
      <w:r>
        <w:t>Bij de aanbestedingstrajecten schenkt het Dongemond college aandacht aan duurzaamheid. Duurzaam, of maatschappelijk verantwoord inkopen, is het rekening houden met maatschappelijke gevolgen in het inkoop- en aanbestedingsproces. Het gaat hierbij om de sociale, milieugerelateerde en economische gevolgen. Duurzaam inkopen wordt zoveel mogelijk nagestreefd, maar is wel afhankelijk van het beschikbare budget.</w:t>
      </w:r>
    </w:p>
    <w:bookmarkEnd w:id="8"/>
    <w:p w14:paraId="5A70290E" w14:textId="77777777" w:rsidR="00AA3AE6" w:rsidRDefault="00AA3AE6" w:rsidP="006A545A"/>
    <w:p w14:paraId="1BE3D228" w14:textId="77777777" w:rsidR="006A545A" w:rsidRDefault="006A545A" w:rsidP="00D40187">
      <w:pPr>
        <w:pStyle w:val="Kop2"/>
      </w:pPr>
      <w:bookmarkStart w:id="10" w:name="_Toc36133458"/>
      <w:r>
        <w:t>Integriteit en inkoopethiek</w:t>
      </w:r>
      <w:bookmarkEnd w:id="10"/>
    </w:p>
    <w:p w14:paraId="0E021ABB" w14:textId="77777777" w:rsidR="006A545A" w:rsidRPr="006A545A" w:rsidRDefault="006A545A" w:rsidP="006A545A">
      <w:pPr>
        <w:pStyle w:val="Kop4"/>
      </w:pPr>
      <w:r w:rsidRPr="006A545A">
        <w:t xml:space="preserve">Integriteitseisen aan medewerkers </w:t>
      </w:r>
    </w:p>
    <w:p w14:paraId="01C83561" w14:textId="77777777" w:rsidR="006A545A" w:rsidRDefault="006A545A" w:rsidP="006A545A"/>
    <w:p w14:paraId="78B47B9D" w14:textId="77777777" w:rsidR="006A545A" w:rsidRPr="006A545A" w:rsidRDefault="006A545A" w:rsidP="006A545A">
      <w:pPr>
        <w:rPr>
          <w:b/>
          <w:bCs/>
        </w:rPr>
      </w:pPr>
      <w:r w:rsidRPr="006A545A">
        <w:rPr>
          <w:b/>
          <w:bCs/>
        </w:rPr>
        <w:t>Inkoopethiek</w:t>
      </w:r>
    </w:p>
    <w:p w14:paraId="3EF72AC7" w14:textId="12E0BD9E" w:rsidR="006A545A" w:rsidRDefault="006A545A" w:rsidP="006A545A">
      <w:r>
        <w:t xml:space="preserve">De personen die namens het Dongemond college handelen zijn loyaal aan de stichting. Het afnemen van diensten, werken en producten met personen waarmee een familie- of vriendenrelatie bestaat is niet toegestaan (zie ook onze integriteitscode). Om te voorkomen dat er ongewenste relaties ontstaan worden regelmatig offertes gevraagd bij leveranciers die niet tot de vaste relaties van het Dongemond college behoren, ook bij bedragen </w:t>
      </w:r>
      <w:r w:rsidR="00764146">
        <w:t>kleiner dan</w:t>
      </w:r>
      <w:r>
        <w:t xml:space="preserve"> € 10.000. Bovendien wordt niet uitsluitend van lokale leveranciers gebruik gemaakt. </w:t>
      </w:r>
    </w:p>
    <w:p w14:paraId="2B30DEB3" w14:textId="77777777" w:rsidR="006A545A" w:rsidRDefault="006A545A" w:rsidP="006A545A">
      <w:r>
        <w:lastRenderedPageBreak/>
        <w:t>Het Dongemond college streeft naar een respectvolle, positieve en zakelijke relatie met haar leveranciers:</w:t>
      </w:r>
    </w:p>
    <w:p w14:paraId="0CDC3AAB" w14:textId="77777777" w:rsidR="006A545A" w:rsidRDefault="006A545A" w:rsidP="006A545A">
      <w:pPr>
        <w:pStyle w:val="Lijstalinea"/>
        <w:numPr>
          <w:ilvl w:val="0"/>
          <w:numId w:val="13"/>
        </w:numPr>
        <w:ind w:left="567"/>
      </w:pPr>
      <w:r>
        <w:t>voorziet de leveranciers altijd van correcte informatie;</w:t>
      </w:r>
    </w:p>
    <w:p w14:paraId="77C36A17" w14:textId="77777777" w:rsidR="006A545A" w:rsidRDefault="006A545A" w:rsidP="006A545A">
      <w:pPr>
        <w:pStyle w:val="Lijstalinea"/>
        <w:numPr>
          <w:ilvl w:val="0"/>
          <w:numId w:val="13"/>
        </w:numPr>
        <w:ind w:left="567"/>
      </w:pPr>
      <w:r>
        <w:t>behandelt verkregen informatie vertrouwelijk;</w:t>
      </w:r>
    </w:p>
    <w:p w14:paraId="1EC9E87F" w14:textId="77777777" w:rsidR="006A545A" w:rsidRDefault="006A545A" w:rsidP="006A545A">
      <w:pPr>
        <w:pStyle w:val="Lijstalinea"/>
        <w:numPr>
          <w:ilvl w:val="0"/>
          <w:numId w:val="13"/>
        </w:numPr>
        <w:ind w:left="567"/>
      </w:pPr>
      <w:r>
        <w:t>geeft alle leveranciers gelijke informatie;</w:t>
      </w:r>
    </w:p>
    <w:p w14:paraId="42E91898" w14:textId="77777777" w:rsidR="006A545A" w:rsidRDefault="006A545A" w:rsidP="006A545A">
      <w:pPr>
        <w:pStyle w:val="Lijstalinea"/>
        <w:numPr>
          <w:ilvl w:val="0"/>
          <w:numId w:val="13"/>
        </w:numPr>
        <w:ind w:left="567"/>
      </w:pPr>
      <w:r>
        <w:t>voert leveranciersselecties uit op basis van relevante en objectieve criteria;</w:t>
      </w:r>
    </w:p>
    <w:p w14:paraId="03614B80" w14:textId="77777777" w:rsidR="006A545A" w:rsidRDefault="006A545A" w:rsidP="006A545A">
      <w:pPr>
        <w:pStyle w:val="Lijstalinea"/>
        <w:numPr>
          <w:ilvl w:val="0"/>
          <w:numId w:val="13"/>
        </w:numPr>
        <w:ind w:left="567"/>
      </w:pPr>
      <w:r>
        <w:t>houdt rekening met proportionaliteit;</w:t>
      </w:r>
    </w:p>
    <w:p w14:paraId="469A1D87" w14:textId="77777777" w:rsidR="006A545A" w:rsidRDefault="006A545A" w:rsidP="006A545A">
      <w:pPr>
        <w:pStyle w:val="Lijstalinea"/>
        <w:numPr>
          <w:ilvl w:val="0"/>
          <w:numId w:val="13"/>
        </w:numPr>
        <w:ind w:left="567"/>
      </w:pPr>
      <w:r>
        <w:t xml:space="preserve">zal motiveren waarom een aanbieding is afgewezen als leverancier hier om vraagt, overigens zonder dat dit tot nieuwe onderhandelingen leidt. </w:t>
      </w:r>
    </w:p>
    <w:p w14:paraId="216BAE71" w14:textId="77777777" w:rsidR="006A545A" w:rsidRDefault="006A545A" w:rsidP="006A545A"/>
    <w:p w14:paraId="3B0FFC31" w14:textId="77777777" w:rsidR="006A545A" w:rsidRDefault="006A545A" w:rsidP="006A545A">
      <w:pPr>
        <w:pStyle w:val="Kop4"/>
      </w:pPr>
      <w:r>
        <w:t>Integriteitseisen aan ondernemers</w:t>
      </w:r>
    </w:p>
    <w:p w14:paraId="6F4AC727" w14:textId="6065BC5B" w:rsidR="006A545A" w:rsidRDefault="006A545A" w:rsidP="006A545A">
      <w:r>
        <w:t xml:space="preserve">Het Dongemond college stelt ook eisen op het gebied van integriteit aan ondernemers. Deze dienen betrouwbaar te zijn. Op het moment dat hier niet aan wordt voldaan, wordt men uitgesloten als (mogelijke) zakelijke relatie van het Dongemond college. </w:t>
      </w:r>
      <w:r w:rsidR="00842C6E">
        <w:t>Integriteit</w:t>
      </w:r>
      <w:r>
        <w:t xml:space="preserve"> kan getoetst worden door middel van:</w:t>
      </w:r>
    </w:p>
    <w:p w14:paraId="22C71DD4" w14:textId="77777777" w:rsidR="006A545A" w:rsidRDefault="006A545A" w:rsidP="006A545A">
      <w:pPr>
        <w:pStyle w:val="Lijstalinea"/>
        <w:numPr>
          <w:ilvl w:val="0"/>
          <w:numId w:val="11"/>
        </w:numPr>
      </w:pPr>
      <w:r>
        <w:t>Het zoveel mogelijk opvragen van een Verklaring omtrent Gedrag voor personen die</w:t>
      </w:r>
    </w:p>
    <w:p w14:paraId="4BD00ED4" w14:textId="77777777" w:rsidR="006A545A" w:rsidRDefault="006A545A" w:rsidP="00842C6E">
      <w:pPr>
        <w:pStyle w:val="Lijstalinea"/>
      </w:pPr>
      <w:r>
        <w:t>vertrouwelijke informatie ter beschikking krijgen in alle inkooptrajecten;</w:t>
      </w:r>
    </w:p>
    <w:p w14:paraId="07D5B96E" w14:textId="77777777" w:rsidR="006A545A" w:rsidRDefault="006A545A" w:rsidP="006A545A">
      <w:pPr>
        <w:pStyle w:val="Lijstalinea"/>
        <w:numPr>
          <w:ilvl w:val="0"/>
          <w:numId w:val="11"/>
        </w:numPr>
      </w:pPr>
      <w:r>
        <w:t>Het opvragen van een Gedragsverklaring aanbesteden (GVA) voor rechtspersonen gedurende het proces van Europese en nationale aanbestedingen;</w:t>
      </w:r>
    </w:p>
    <w:p w14:paraId="2D375F58" w14:textId="77777777" w:rsidR="006A545A" w:rsidRDefault="006A545A" w:rsidP="006A545A">
      <w:pPr>
        <w:pStyle w:val="Lijstalinea"/>
        <w:numPr>
          <w:ilvl w:val="0"/>
          <w:numId w:val="11"/>
        </w:numPr>
      </w:pPr>
      <w:r>
        <w:lastRenderedPageBreak/>
        <w:t>Het toepassen van model K</w:t>
      </w:r>
      <w:r w:rsidR="006C48AD">
        <w:rPr>
          <w:rStyle w:val="Voetnootmarkering"/>
        </w:rPr>
        <w:footnoteReference w:id="3"/>
      </w:r>
      <w:r>
        <w:t xml:space="preserve">  (Verklaring van een bestuurder van de inschrijver dat de inschrijving niet tot stand is gekomen onder invloed van een overeenkomst, besluit of gedraging in strijd met het Nederlandse of Europese mededingingsrecht). in alle Europese en nationale aanbestedingsprocedures waarbij de Aanbestedingswet 2012 van toepassing wordt verklaard;</w:t>
      </w:r>
    </w:p>
    <w:p w14:paraId="40517727" w14:textId="77777777" w:rsidR="006A545A" w:rsidRDefault="006A545A" w:rsidP="006A545A">
      <w:pPr>
        <w:pStyle w:val="Lijstalinea"/>
        <w:numPr>
          <w:ilvl w:val="0"/>
          <w:numId w:val="11"/>
        </w:numPr>
      </w:pPr>
      <w:r>
        <w:t>Het waar nodig laten ondertekenen van een geheimhoudingsverklaring.</w:t>
      </w:r>
    </w:p>
    <w:p w14:paraId="1054F840" w14:textId="77777777" w:rsidR="006A545A" w:rsidRDefault="006A545A" w:rsidP="006A545A">
      <w:r>
        <w:t> </w:t>
      </w:r>
    </w:p>
    <w:p w14:paraId="26C46400" w14:textId="77777777" w:rsidR="006A545A" w:rsidRDefault="006A545A" w:rsidP="006A545A">
      <w:pPr>
        <w:pStyle w:val="Kop1"/>
      </w:pPr>
      <w:bookmarkStart w:id="11" w:name="_Toc36133459"/>
      <w:r>
        <w:t>Economische uitgangspunten</w:t>
      </w:r>
      <w:bookmarkEnd w:id="11"/>
    </w:p>
    <w:p w14:paraId="573D290B" w14:textId="77777777" w:rsidR="006A545A" w:rsidRDefault="006A545A" w:rsidP="00D40187">
      <w:pPr>
        <w:pStyle w:val="Kop2"/>
      </w:pPr>
      <w:bookmarkStart w:id="12" w:name="_Toc36133460"/>
      <w:r>
        <w:t>Te hanteren aanbestedingsprocedures</w:t>
      </w:r>
      <w:bookmarkEnd w:id="12"/>
    </w:p>
    <w:p w14:paraId="605C6B0D" w14:textId="77777777" w:rsidR="006A545A" w:rsidRDefault="006A545A" w:rsidP="006A545A">
      <w:r>
        <w:t xml:space="preserve">De Aanbestedingswet 2012, bepaalt dat een aanbestedende dienst op objectieve gronden moet kiezen welk type aanbestedingsprocedure wordt toepast en welke ondernemers worden toegelaten. Op verzoek van een ondernemer moet deze keuze schriftelijk gemotiveerd kunnen worden. </w:t>
      </w:r>
    </w:p>
    <w:p w14:paraId="5F500BD2" w14:textId="77777777" w:rsidR="006A545A" w:rsidRDefault="006A545A" w:rsidP="006A545A">
      <w:r>
        <w:t xml:space="preserve">Openbaar (Europees) aanbesteden geniet de voorkeur, omdat dit maximaal tegemoet komt aan de beginselen van transparantie, objectiviteit en non-discriminatie en er dan ook sprake is van vrije concurrentie. Wanneer het bedrag dat gemoeid is met de inkoop echter beperkt is, wegen de (administratieve) lasten voor inschrijvers en/of het Dongemond college niet op </w:t>
      </w:r>
      <w:r>
        <w:lastRenderedPageBreak/>
        <w:t>tegen de baten. Het Dongemond college hanteert daarom de navolgende marktbenaderingswijzen en drempelbedragen bij het aanbesteden van leveringen, diensten en werken. Deze sluiten aan bij de Aanbestedingswet 2012 en de “Circulaire</w:t>
      </w:r>
      <w:r w:rsidR="006C48AD">
        <w:rPr>
          <w:rStyle w:val="Voetnootmarkering"/>
        </w:rPr>
        <w:footnoteReference w:id="4"/>
      </w:r>
      <w:r>
        <w:t xml:space="preserve">  over de grensbedragen voor procedures Aanbestedingswet 2012 onder de drempelwaarde van het Ministerie van Binnenlandse Zaken en Koninkrijksrelaties”.</w:t>
      </w:r>
    </w:p>
    <w:p w14:paraId="1CE2649D" w14:textId="77777777" w:rsidR="006A545A" w:rsidRDefault="006A545A" w:rsidP="006A545A"/>
    <w:p w14:paraId="343A8F09" w14:textId="77777777" w:rsidR="006A545A" w:rsidRDefault="006A545A" w:rsidP="006A545A">
      <w:pPr>
        <w:pStyle w:val="Lijstalinea"/>
        <w:numPr>
          <w:ilvl w:val="0"/>
          <w:numId w:val="15"/>
        </w:numPr>
      </w:pPr>
      <w:r>
        <w:t>Enkelvoudig onderhands: Procedure waarbij slechts 1 ondernemer wordt uitgenodigd voor het indienen van een offerte op grond van de algemene inkoopvoorwaarden van het Dongemond college, met als doel in onderling overleg een akkoord te bereiken over prijs en levering van de opdracht. Er is geen sprake van concurrentie tussen mogelijke ondernemers. Deze manier van inkoop wordt toegepast bij kleine opdrachten, waarbij het officiële aanbestedingsproces te duur is in verhouding tot de opdrachtsom.</w:t>
      </w:r>
    </w:p>
    <w:p w14:paraId="458E285B" w14:textId="77777777" w:rsidR="006A545A" w:rsidRDefault="006A545A" w:rsidP="006A545A">
      <w:pPr>
        <w:pStyle w:val="Lijstalinea"/>
        <w:numPr>
          <w:ilvl w:val="0"/>
          <w:numId w:val="15"/>
        </w:numPr>
      </w:pPr>
      <w:r>
        <w:t>Meervoudig onderhands: Procedure waarbij aan de hand van een shortlist</w:t>
      </w:r>
      <w:r w:rsidR="00307F76">
        <w:rPr>
          <w:rStyle w:val="Voetnootmarkering"/>
        </w:rPr>
        <w:footnoteReference w:id="5"/>
      </w:r>
      <w:r>
        <w:t xml:space="preserve"> minimaal 3 en maximaal 5 ondernemers worden uitgenodigd om een offerte in te dienen op basis van een door het Dongemond college vervaardigd beschrijvend document of bestek met </w:t>
      </w:r>
      <w:r>
        <w:lastRenderedPageBreak/>
        <w:t>daarin alle relevante informatie. Er gelden geen voorschriften tot openbare bekendmaking of voorschriften voor de duur van termijnen. Het Dongemond college gunt op basis van het criterium laagste prijs of economische meest voordelige inschrijving. Er is sprake van beperkte concurrentie.</w:t>
      </w:r>
    </w:p>
    <w:p w14:paraId="79AF0DF6" w14:textId="77777777" w:rsidR="006A545A" w:rsidRDefault="006A545A" w:rsidP="006A545A">
      <w:pPr>
        <w:pStyle w:val="Lijstalinea"/>
        <w:numPr>
          <w:ilvl w:val="0"/>
          <w:numId w:val="15"/>
        </w:numPr>
      </w:pPr>
      <w:r>
        <w:t>Nationale aanbesteding (publicatie): Het Dongemond college plaatst op Tenderned.nl op nationaal niveau een aankondiging voor een opdracht. Daarop kan iedere geïnteresseerde ondernemer zich inschrijven middels het indienen van een offerte op basis van een beschrijvend document of bestek met daarin alle relevante informatie. Na beoordeling van de inschrijvingen beslist het Dongemond college aan wie hij wil gunnen. Dat deelt hij vervolgens aan alle ondernemers mee. Het Dongemond college gunt op basis van het criterium laagste prijs of economische meest voordelige inschrijving;</w:t>
      </w:r>
    </w:p>
    <w:p w14:paraId="4BB78D94" w14:textId="77777777" w:rsidR="006A545A" w:rsidRDefault="006A545A" w:rsidP="006A545A">
      <w:pPr>
        <w:pStyle w:val="Lijstalinea"/>
        <w:numPr>
          <w:ilvl w:val="0"/>
          <w:numId w:val="15"/>
        </w:numPr>
      </w:pPr>
      <w:r>
        <w:t xml:space="preserve">Europees aanbesteden met of zonder voorafgaande selectie: </w:t>
      </w:r>
    </w:p>
    <w:p w14:paraId="5BBF404E" w14:textId="77777777" w:rsidR="006A545A" w:rsidRDefault="006A545A" w:rsidP="006A545A">
      <w:pPr>
        <w:pStyle w:val="Lijstalinea"/>
        <w:numPr>
          <w:ilvl w:val="0"/>
          <w:numId w:val="17"/>
        </w:numPr>
        <w:ind w:left="1134"/>
      </w:pPr>
      <w:r>
        <w:t>Europees aanbesteden zonder voorafgaande selectie (openbare procedure):</w:t>
      </w:r>
    </w:p>
    <w:p w14:paraId="5312CC7F" w14:textId="77777777" w:rsidR="006A545A" w:rsidRDefault="006A545A" w:rsidP="006A545A">
      <w:pPr>
        <w:pStyle w:val="Lijstalinea"/>
        <w:numPr>
          <w:ilvl w:val="0"/>
          <w:numId w:val="17"/>
        </w:numPr>
        <w:ind w:left="1134"/>
      </w:pPr>
      <w:r>
        <w:t>Het Dongemond college plaatst op Tenderned.nl op Europees niveau een aankondiging voor een opdracht. Daarop kan iedere geïnteresseerde ondernemer zich inschrijven middels het indienen van een offerte op basis van een door het Dongemond college vervaardigd beschrijvend document of bestek met daarin alle relevante informatie. Na beoordeling van de inschrijvingen gunt het Dongemond college de opdracht op basis van in het document of bestek opgenomen criterium: laagste prijs of economische meest voordelige inschrijving;</w:t>
      </w:r>
    </w:p>
    <w:p w14:paraId="133C0E03" w14:textId="77777777" w:rsidR="006A545A" w:rsidRDefault="006A545A" w:rsidP="006A545A">
      <w:pPr>
        <w:pStyle w:val="Lijstalinea"/>
        <w:numPr>
          <w:ilvl w:val="0"/>
          <w:numId w:val="17"/>
        </w:numPr>
        <w:ind w:left="1134"/>
      </w:pPr>
      <w:r>
        <w:t>Europees aanbesteden met voorafgaande selectie (niet-openbare procedure):</w:t>
      </w:r>
    </w:p>
    <w:p w14:paraId="01F255D2" w14:textId="0281E349" w:rsidR="006A545A" w:rsidRDefault="006A545A" w:rsidP="006A545A">
      <w:pPr>
        <w:pStyle w:val="Lijstalinea"/>
        <w:numPr>
          <w:ilvl w:val="0"/>
          <w:numId w:val="17"/>
        </w:numPr>
        <w:ind w:left="1134"/>
      </w:pPr>
      <w:r>
        <w:lastRenderedPageBreak/>
        <w:t>In tegenstelling tot wat de naam doet vermoeden, is de niet-openbare procedure even openbaar als de openbare procedure. Het verschil is echter dat de procedure in twee delen is geknipt; een selectie- en een gunningsronde. Na de aankondiging op Tenderned.nl kan iedere ondernemer verzoeken deel te nemen. Het Dongemond college selecteert hieruit een aantal geschikte gegadigden aan de hand van uitsluitingsgronden en selectiecriteria. Vervolgens wordt h</w:t>
      </w:r>
      <w:r w:rsidR="00764146">
        <w:t>u</w:t>
      </w:r>
      <w:r>
        <w:t xml:space="preserve">n gevraagd om in te schrijven en verloopt de procedure verder zoals de openbare procedure. </w:t>
      </w:r>
    </w:p>
    <w:p w14:paraId="2E325DC5" w14:textId="3571C828" w:rsidR="00D40187" w:rsidRDefault="006A545A" w:rsidP="00D40187">
      <w:pPr>
        <w:pStyle w:val="Lijstalinea"/>
        <w:numPr>
          <w:ilvl w:val="0"/>
          <w:numId w:val="17"/>
        </w:numPr>
        <w:ind w:left="1134"/>
      </w:pPr>
      <w:r>
        <w:t>Bij Europees aanbesteden is er vrije concurrentie tussen alle ondernemers.</w:t>
      </w:r>
      <w:r w:rsidR="001E07CF">
        <w:t xml:space="preserve"> </w:t>
      </w:r>
    </w:p>
    <w:p w14:paraId="691882EA" w14:textId="77777777" w:rsidR="001E07CF" w:rsidRDefault="001E07CF" w:rsidP="001E07CF">
      <w:pPr>
        <w:pStyle w:val="Lijstalinea"/>
        <w:ind w:left="1134"/>
      </w:pPr>
    </w:p>
    <w:tbl>
      <w:tblPr>
        <w:tblW w:w="9155" w:type="dxa"/>
        <w:tblInd w:w="55" w:type="dxa"/>
        <w:tblCellMar>
          <w:left w:w="70" w:type="dxa"/>
          <w:right w:w="70" w:type="dxa"/>
        </w:tblCellMar>
        <w:tblLook w:val="04A0" w:firstRow="1" w:lastRow="0" w:firstColumn="1" w:lastColumn="0" w:noHBand="0" w:noVBand="1"/>
      </w:tblPr>
      <w:tblGrid>
        <w:gridCol w:w="1383"/>
        <w:gridCol w:w="1404"/>
        <w:gridCol w:w="3190"/>
        <w:gridCol w:w="3178"/>
      </w:tblGrid>
      <w:tr w:rsidR="00D40187" w:rsidRPr="00D40187" w14:paraId="17B59326" w14:textId="77777777" w:rsidTr="007F1AF2">
        <w:trPr>
          <w:trHeight w:val="423"/>
        </w:trPr>
        <w:tc>
          <w:tcPr>
            <w:tcW w:w="9155" w:type="dxa"/>
            <w:gridSpan w:val="4"/>
            <w:tcBorders>
              <w:top w:val="single" w:sz="8" w:space="0" w:color="auto"/>
              <w:left w:val="single" w:sz="8" w:space="0" w:color="auto"/>
              <w:bottom w:val="single" w:sz="4" w:space="0" w:color="auto"/>
              <w:right w:val="single" w:sz="8" w:space="0" w:color="000000"/>
            </w:tcBorders>
            <w:shd w:val="clear" w:color="000000" w:fill="C0C0C0"/>
            <w:hideMark/>
          </w:tcPr>
          <w:p w14:paraId="5D4413B9" w14:textId="77777777" w:rsidR="00D40187" w:rsidRPr="00D40187" w:rsidRDefault="00D40187" w:rsidP="00D40187">
            <w:pPr>
              <w:spacing w:line="240" w:lineRule="auto"/>
              <w:jc w:val="center"/>
              <w:rPr>
                <w:rFonts w:eastAsia="Times New Roman"/>
                <w:b/>
                <w:bCs/>
                <w:color w:val="000000"/>
                <w:lang w:eastAsia="nl-NL"/>
              </w:rPr>
            </w:pPr>
            <w:r w:rsidRPr="00D40187">
              <w:rPr>
                <w:rFonts w:eastAsia="Times New Roman"/>
                <w:b/>
                <w:bCs/>
                <w:color w:val="000000"/>
                <w:lang w:eastAsia="nl-NL"/>
              </w:rPr>
              <w:t>leveringen en diensten</w:t>
            </w:r>
          </w:p>
        </w:tc>
      </w:tr>
      <w:tr w:rsidR="00D40187" w:rsidRPr="00D40187" w14:paraId="13919B1C" w14:textId="77777777" w:rsidTr="007F1AF2">
        <w:trPr>
          <w:trHeight w:val="856"/>
        </w:trPr>
        <w:tc>
          <w:tcPr>
            <w:tcW w:w="2787" w:type="dxa"/>
            <w:gridSpan w:val="2"/>
            <w:tcBorders>
              <w:top w:val="single" w:sz="4" w:space="0" w:color="auto"/>
              <w:left w:val="single" w:sz="8" w:space="0" w:color="auto"/>
              <w:bottom w:val="single" w:sz="4" w:space="0" w:color="000000"/>
              <w:right w:val="single" w:sz="4" w:space="0" w:color="000000"/>
            </w:tcBorders>
            <w:shd w:val="clear" w:color="000000" w:fill="C0C0C0"/>
            <w:hideMark/>
          </w:tcPr>
          <w:p w14:paraId="2BDAE4B5" w14:textId="77777777" w:rsidR="00D40187" w:rsidRPr="00D40187" w:rsidRDefault="00D40187" w:rsidP="00D40187">
            <w:pPr>
              <w:spacing w:line="240" w:lineRule="auto"/>
              <w:rPr>
                <w:rFonts w:eastAsia="Times New Roman"/>
                <w:b/>
                <w:bCs/>
                <w:color w:val="000000"/>
                <w:lang w:eastAsia="nl-NL"/>
              </w:rPr>
            </w:pPr>
            <w:r w:rsidRPr="00D40187">
              <w:rPr>
                <w:rFonts w:eastAsia="Times New Roman"/>
                <w:b/>
                <w:bCs/>
                <w:color w:val="000000"/>
                <w:lang w:eastAsia="nl-NL"/>
              </w:rPr>
              <w:t>bedrag excl. BTW           (totale contractduur)</w:t>
            </w:r>
          </w:p>
        </w:tc>
        <w:tc>
          <w:tcPr>
            <w:tcW w:w="3190" w:type="dxa"/>
            <w:vMerge w:val="restart"/>
            <w:tcBorders>
              <w:top w:val="nil"/>
              <w:left w:val="single" w:sz="4" w:space="0" w:color="auto"/>
              <w:bottom w:val="single" w:sz="8" w:space="0" w:color="000000"/>
              <w:right w:val="single" w:sz="8" w:space="0" w:color="auto"/>
            </w:tcBorders>
            <w:shd w:val="clear" w:color="000000" w:fill="C0C0C0"/>
            <w:hideMark/>
          </w:tcPr>
          <w:p w14:paraId="0784CDAC" w14:textId="77777777" w:rsidR="00D40187" w:rsidRPr="00D40187" w:rsidRDefault="00D40187" w:rsidP="00D40187">
            <w:pPr>
              <w:spacing w:line="240" w:lineRule="auto"/>
              <w:jc w:val="center"/>
              <w:rPr>
                <w:rFonts w:eastAsia="Times New Roman"/>
                <w:b/>
                <w:bCs/>
                <w:color w:val="000000"/>
                <w:lang w:eastAsia="nl-NL"/>
              </w:rPr>
            </w:pPr>
            <w:r w:rsidRPr="00D40187">
              <w:rPr>
                <w:rFonts w:eastAsia="Times New Roman"/>
                <w:b/>
                <w:bCs/>
                <w:color w:val="000000"/>
                <w:lang w:eastAsia="nl-NL"/>
              </w:rPr>
              <w:t>procedure</w:t>
            </w:r>
          </w:p>
        </w:tc>
        <w:tc>
          <w:tcPr>
            <w:tcW w:w="3178" w:type="dxa"/>
            <w:vMerge w:val="restart"/>
            <w:tcBorders>
              <w:top w:val="nil"/>
              <w:left w:val="single" w:sz="4" w:space="0" w:color="auto"/>
              <w:bottom w:val="nil"/>
              <w:right w:val="single" w:sz="8" w:space="0" w:color="auto"/>
            </w:tcBorders>
            <w:shd w:val="clear" w:color="000000" w:fill="C0C0C0"/>
          </w:tcPr>
          <w:p w14:paraId="0CD2F1C4" w14:textId="77777777" w:rsidR="00D40187" w:rsidRPr="00D40187" w:rsidRDefault="00D40187" w:rsidP="00D40187">
            <w:pPr>
              <w:spacing w:line="240" w:lineRule="auto"/>
              <w:jc w:val="center"/>
              <w:rPr>
                <w:rFonts w:eastAsia="Times New Roman"/>
                <w:b/>
                <w:bCs/>
                <w:color w:val="000000"/>
                <w:lang w:eastAsia="nl-NL"/>
              </w:rPr>
            </w:pPr>
            <w:r w:rsidRPr="00D40187">
              <w:rPr>
                <w:rFonts w:eastAsia="Times New Roman"/>
                <w:b/>
                <w:bCs/>
                <w:color w:val="000000"/>
                <w:lang w:eastAsia="nl-NL"/>
              </w:rPr>
              <w:t>tekenbevoegd</w:t>
            </w:r>
          </w:p>
        </w:tc>
      </w:tr>
      <w:tr w:rsidR="00D40187" w:rsidRPr="00D40187" w14:paraId="62597FBE" w14:textId="77777777" w:rsidTr="007F1AF2">
        <w:trPr>
          <w:trHeight w:val="423"/>
        </w:trPr>
        <w:tc>
          <w:tcPr>
            <w:tcW w:w="1383" w:type="dxa"/>
            <w:tcBorders>
              <w:top w:val="nil"/>
              <w:left w:val="single" w:sz="8" w:space="0" w:color="auto"/>
              <w:bottom w:val="single" w:sz="8" w:space="0" w:color="auto"/>
              <w:right w:val="single" w:sz="4" w:space="0" w:color="auto"/>
            </w:tcBorders>
            <w:shd w:val="clear" w:color="000000" w:fill="C0C0C0"/>
            <w:hideMark/>
          </w:tcPr>
          <w:p w14:paraId="53F84FC5" w14:textId="77777777" w:rsidR="00D40187" w:rsidRPr="00D40187" w:rsidRDefault="00D40187" w:rsidP="00D40187">
            <w:pPr>
              <w:spacing w:line="240" w:lineRule="auto"/>
              <w:jc w:val="center"/>
              <w:rPr>
                <w:rFonts w:eastAsia="Times New Roman"/>
                <w:b/>
                <w:bCs/>
                <w:color w:val="000000"/>
                <w:lang w:eastAsia="nl-NL"/>
              </w:rPr>
            </w:pPr>
            <w:r w:rsidRPr="00D40187">
              <w:rPr>
                <w:rFonts w:eastAsia="Times New Roman"/>
                <w:b/>
                <w:bCs/>
                <w:color w:val="000000"/>
                <w:lang w:eastAsia="nl-NL"/>
              </w:rPr>
              <w:t>ondergrens</w:t>
            </w:r>
          </w:p>
        </w:tc>
        <w:tc>
          <w:tcPr>
            <w:tcW w:w="1404" w:type="dxa"/>
            <w:tcBorders>
              <w:top w:val="nil"/>
              <w:left w:val="nil"/>
              <w:bottom w:val="single" w:sz="8" w:space="0" w:color="auto"/>
              <w:right w:val="single" w:sz="4" w:space="0" w:color="auto"/>
            </w:tcBorders>
            <w:shd w:val="clear" w:color="000000" w:fill="C0C0C0"/>
            <w:hideMark/>
          </w:tcPr>
          <w:p w14:paraId="78192728" w14:textId="77777777" w:rsidR="00D40187" w:rsidRPr="00D40187" w:rsidRDefault="00D40187" w:rsidP="00D40187">
            <w:pPr>
              <w:spacing w:line="240" w:lineRule="auto"/>
              <w:jc w:val="center"/>
              <w:rPr>
                <w:rFonts w:eastAsia="Times New Roman"/>
                <w:b/>
                <w:bCs/>
                <w:color w:val="000000"/>
                <w:lang w:eastAsia="nl-NL"/>
              </w:rPr>
            </w:pPr>
            <w:r w:rsidRPr="00D40187">
              <w:rPr>
                <w:rFonts w:eastAsia="Times New Roman"/>
                <w:b/>
                <w:bCs/>
                <w:color w:val="000000"/>
                <w:lang w:eastAsia="nl-NL"/>
              </w:rPr>
              <w:t>bovengrens</w:t>
            </w:r>
          </w:p>
        </w:tc>
        <w:tc>
          <w:tcPr>
            <w:tcW w:w="3190" w:type="dxa"/>
            <w:vMerge/>
            <w:tcBorders>
              <w:top w:val="nil"/>
              <w:left w:val="single" w:sz="4" w:space="0" w:color="auto"/>
              <w:bottom w:val="single" w:sz="8" w:space="0" w:color="000000"/>
              <w:right w:val="single" w:sz="8" w:space="0" w:color="auto"/>
            </w:tcBorders>
            <w:vAlign w:val="center"/>
            <w:hideMark/>
          </w:tcPr>
          <w:p w14:paraId="78002DA0" w14:textId="77777777" w:rsidR="00D40187" w:rsidRPr="00D40187" w:rsidRDefault="00D40187" w:rsidP="00D40187">
            <w:pPr>
              <w:spacing w:line="240" w:lineRule="auto"/>
              <w:rPr>
                <w:rFonts w:eastAsia="Times New Roman"/>
                <w:b/>
                <w:bCs/>
                <w:color w:val="000000"/>
                <w:lang w:eastAsia="nl-NL"/>
              </w:rPr>
            </w:pPr>
          </w:p>
        </w:tc>
        <w:tc>
          <w:tcPr>
            <w:tcW w:w="3178" w:type="dxa"/>
            <w:vMerge/>
            <w:tcBorders>
              <w:left w:val="single" w:sz="4" w:space="0" w:color="auto"/>
              <w:bottom w:val="single" w:sz="8" w:space="0" w:color="000000"/>
              <w:right w:val="single" w:sz="8" w:space="0" w:color="auto"/>
            </w:tcBorders>
          </w:tcPr>
          <w:p w14:paraId="39E35C52" w14:textId="77777777" w:rsidR="00D40187" w:rsidRPr="00D40187" w:rsidRDefault="00D40187" w:rsidP="00D40187">
            <w:pPr>
              <w:spacing w:line="240" w:lineRule="auto"/>
              <w:rPr>
                <w:rFonts w:eastAsia="Times New Roman"/>
                <w:b/>
                <w:bCs/>
                <w:color w:val="000000"/>
                <w:lang w:eastAsia="nl-NL"/>
              </w:rPr>
            </w:pPr>
          </w:p>
        </w:tc>
      </w:tr>
      <w:tr w:rsidR="00D40187" w:rsidRPr="00032E1B" w14:paraId="3B7EC0F7" w14:textId="77777777" w:rsidTr="007F1AF2">
        <w:trPr>
          <w:trHeight w:val="423"/>
        </w:trPr>
        <w:tc>
          <w:tcPr>
            <w:tcW w:w="1383" w:type="dxa"/>
            <w:tcBorders>
              <w:top w:val="nil"/>
              <w:left w:val="single" w:sz="8" w:space="0" w:color="auto"/>
              <w:bottom w:val="single" w:sz="4" w:space="0" w:color="auto"/>
              <w:right w:val="single" w:sz="4" w:space="0" w:color="auto"/>
            </w:tcBorders>
            <w:shd w:val="clear" w:color="auto" w:fill="auto"/>
            <w:vAlign w:val="center"/>
            <w:hideMark/>
          </w:tcPr>
          <w:p w14:paraId="1E868094" w14:textId="77777777" w:rsidR="00D40187" w:rsidRPr="00032E1B" w:rsidRDefault="00D40187" w:rsidP="00612302">
            <w:pPr>
              <w:spacing w:line="240" w:lineRule="auto"/>
              <w:jc w:val="center"/>
              <w:rPr>
                <w:rFonts w:eastAsia="Times New Roman"/>
                <w:color w:val="000000"/>
                <w:lang w:eastAsia="nl-NL"/>
              </w:rPr>
            </w:pPr>
            <w:r w:rsidRPr="00032E1B">
              <w:rPr>
                <w:rFonts w:eastAsia="Times New Roman"/>
                <w:color w:val="000000"/>
                <w:lang w:eastAsia="nl-NL"/>
              </w:rPr>
              <w:t>€ 2</w:t>
            </w:r>
            <w:r w:rsidR="00612302" w:rsidRPr="00032E1B">
              <w:rPr>
                <w:rFonts w:eastAsia="Times New Roman"/>
                <w:color w:val="000000"/>
                <w:lang w:eastAsia="nl-NL"/>
              </w:rPr>
              <w:t>14</w:t>
            </w:r>
            <w:r w:rsidRPr="00032E1B">
              <w:rPr>
                <w:rFonts w:eastAsia="Times New Roman"/>
                <w:color w:val="000000"/>
                <w:lang w:eastAsia="nl-NL"/>
              </w:rPr>
              <w:t>.000</w:t>
            </w:r>
          </w:p>
        </w:tc>
        <w:tc>
          <w:tcPr>
            <w:tcW w:w="1404" w:type="dxa"/>
            <w:tcBorders>
              <w:top w:val="nil"/>
              <w:left w:val="nil"/>
              <w:bottom w:val="single" w:sz="4" w:space="0" w:color="auto"/>
              <w:right w:val="single" w:sz="4" w:space="0" w:color="auto"/>
            </w:tcBorders>
            <w:shd w:val="clear" w:color="auto" w:fill="auto"/>
            <w:vAlign w:val="center"/>
            <w:hideMark/>
          </w:tcPr>
          <w:p w14:paraId="28FF7E77" w14:textId="77777777" w:rsidR="00D40187" w:rsidRPr="00032E1B" w:rsidRDefault="00D40187" w:rsidP="00D40187">
            <w:pPr>
              <w:spacing w:line="240" w:lineRule="auto"/>
              <w:jc w:val="center"/>
              <w:rPr>
                <w:rFonts w:eastAsia="Times New Roman"/>
                <w:color w:val="000000"/>
                <w:lang w:eastAsia="nl-NL"/>
              </w:rPr>
            </w:pPr>
            <w:r w:rsidRPr="00032E1B">
              <w:rPr>
                <w:rFonts w:eastAsia="Times New Roman"/>
                <w:color w:val="000000"/>
                <w:lang w:eastAsia="nl-NL"/>
              </w:rPr>
              <w:t>-</w:t>
            </w:r>
          </w:p>
        </w:tc>
        <w:tc>
          <w:tcPr>
            <w:tcW w:w="3190" w:type="dxa"/>
            <w:tcBorders>
              <w:top w:val="nil"/>
              <w:left w:val="nil"/>
              <w:bottom w:val="single" w:sz="4" w:space="0" w:color="auto"/>
              <w:right w:val="single" w:sz="8" w:space="0" w:color="auto"/>
            </w:tcBorders>
            <w:shd w:val="clear" w:color="auto" w:fill="auto"/>
            <w:vAlign w:val="center"/>
            <w:hideMark/>
          </w:tcPr>
          <w:p w14:paraId="6CA366C1" w14:textId="77777777" w:rsidR="00D40187" w:rsidRPr="00032E1B" w:rsidRDefault="00D40187" w:rsidP="00D40187">
            <w:pPr>
              <w:spacing w:line="240" w:lineRule="auto"/>
              <w:rPr>
                <w:rFonts w:eastAsia="Times New Roman"/>
                <w:color w:val="000000"/>
                <w:lang w:eastAsia="nl-NL"/>
              </w:rPr>
            </w:pPr>
            <w:r w:rsidRPr="00032E1B">
              <w:rPr>
                <w:rFonts w:eastAsia="Times New Roman"/>
                <w:color w:val="000000"/>
                <w:lang w:eastAsia="nl-NL"/>
              </w:rPr>
              <w:t>Europese aanbesteding</w:t>
            </w:r>
          </w:p>
        </w:tc>
        <w:tc>
          <w:tcPr>
            <w:tcW w:w="3178" w:type="dxa"/>
            <w:tcBorders>
              <w:top w:val="nil"/>
              <w:left w:val="nil"/>
              <w:bottom w:val="single" w:sz="4" w:space="0" w:color="auto"/>
              <w:right w:val="single" w:sz="8" w:space="0" w:color="auto"/>
            </w:tcBorders>
          </w:tcPr>
          <w:p w14:paraId="53A9FDE9" w14:textId="77777777" w:rsidR="00D40187" w:rsidRPr="00032E1B" w:rsidRDefault="00D40187" w:rsidP="00D40187">
            <w:pPr>
              <w:spacing w:line="240" w:lineRule="auto"/>
              <w:jc w:val="center"/>
              <w:rPr>
                <w:rFonts w:eastAsia="Times New Roman"/>
                <w:color w:val="000000"/>
                <w:lang w:eastAsia="nl-NL"/>
              </w:rPr>
            </w:pPr>
            <w:r w:rsidRPr="00032E1B">
              <w:rPr>
                <w:rFonts w:eastAsia="Times New Roman"/>
                <w:color w:val="000000"/>
                <w:lang w:eastAsia="nl-NL"/>
              </w:rPr>
              <w:t>college van bestuur</w:t>
            </w:r>
          </w:p>
        </w:tc>
      </w:tr>
      <w:tr w:rsidR="00D40187" w:rsidRPr="00D40187" w14:paraId="672D9479" w14:textId="77777777" w:rsidTr="007F1AF2">
        <w:trPr>
          <w:trHeight w:val="423"/>
        </w:trPr>
        <w:tc>
          <w:tcPr>
            <w:tcW w:w="1383" w:type="dxa"/>
            <w:tcBorders>
              <w:top w:val="nil"/>
              <w:left w:val="single" w:sz="8" w:space="0" w:color="auto"/>
              <w:bottom w:val="single" w:sz="4" w:space="0" w:color="auto"/>
              <w:right w:val="single" w:sz="4" w:space="0" w:color="auto"/>
            </w:tcBorders>
            <w:shd w:val="clear" w:color="auto" w:fill="auto"/>
            <w:vAlign w:val="center"/>
            <w:hideMark/>
          </w:tcPr>
          <w:p w14:paraId="08BD9E19" w14:textId="77777777" w:rsidR="00D40187" w:rsidRPr="00032E1B" w:rsidRDefault="00D40187" w:rsidP="00D40187">
            <w:pPr>
              <w:spacing w:line="240" w:lineRule="auto"/>
              <w:jc w:val="center"/>
              <w:rPr>
                <w:rFonts w:eastAsia="Times New Roman"/>
                <w:color w:val="000000"/>
                <w:lang w:eastAsia="nl-NL"/>
              </w:rPr>
            </w:pPr>
            <w:r w:rsidRPr="00032E1B">
              <w:rPr>
                <w:rFonts w:eastAsia="Times New Roman"/>
                <w:color w:val="000000"/>
                <w:lang w:eastAsia="nl-NL"/>
              </w:rPr>
              <w:t>€  50.000</w:t>
            </w:r>
          </w:p>
        </w:tc>
        <w:tc>
          <w:tcPr>
            <w:tcW w:w="1404" w:type="dxa"/>
            <w:tcBorders>
              <w:top w:val="nil"/>
              <w:left w:val="nil"/>
              <w:bottom w:val="single" w:sz="4" w:space="0" w:color="auto"/>
              <w:right w:val="single" w:sz="4" w:space="0" w:color="auto"/>
            </w:tcBorders>
            <w:shd w:val="clear" w:color="auto" w:fill="auto"/>
            <w:vAlign w:val="center"/>
            <w:hideMark/>
          </w:tcPr>
          <w:p w14:paraId="6D66DACE" w14:textId="77777777" w:rsidR="00D40187" w:rsidRPr="00032E1B" w:rsidRDefault="00D40187" w:rsidP="00612302">
            <w:pPr>
              <w:spacing w:line="240" w:lineRule="auto"/>
              <w:jc w:val="center"/>
              <w:rPr>
                <w:rFonts w:eastAsia="Times New Roman"/>
                <w:color w:val="000000"/>
                <w:lang w:eastAsia="nl-NL"/>
              </w:rPr>
            </w:pPr>
            <w:r w:rsidRPr="00032E1B">
              <w:rPr>
                <w:rFonts w:eastAsia="Times New Roman"/>
                <w:color w:val="000000"/>
                <w:lang w:eastAsia="nl-NL"/>
              </w:rPr>
              <w:t>€ 21</w:t>
            </w:r>
            <w:r w:rsidR="00612302" w:rsidRPr="00032E1B">
              <w:rPr>
                <w:rFonts w:eastAsia="Times New Roman"/>
                <w:color w:val="000000"/>
                <w:lang w:eastAsia="nl-NL"/>
              </w:rPr>
              <w:t>4</w:t>
            </w:r>
            <w:r w:rsidRPr="00032E1B">
              <w:rPr>
                <w:rFonts w:eastAsia="Times New Roman"/>
                <w:color w:val="000000"/>
                <w:lang w:eastAsia="nl-NL"/>
              </w:rPr>
              <w:t>.000</w:t>
            </w:r>
          </w:p>
        </w:tc>
        <w:tc>
          <w:tcPr>
            <w:tcW w:w="3190" w:type="dxa"/>
            <w:tcBorders>
              <w:top w:val="nil"/>
              <w:left w:val="nil"/>
              <w:bottom w:val="single" w:sz="4" w:space="0" w:color="auto"/>
              <w:right w:val="single" w:sz="8" w:space="0" w:color="auto"/>
            </w:tcBorders>
            <w:shd w:val="clear" w:color="auto" w:fill="auto"/>
            <w:vAlign w:val="center"/>
            <w:hideMark/>
          </w:tcPr>
          <w:p w14:paraId="1DE4F3BE" w14:textId="77777777" w:rsidR="00D40187" w:rsidRPr="00032E1B" w:rsidRDefault="00D40187" w:rsidP="00D40187">
            <w:pPr>
              <w:spacing w:line="240" w:lineRule="auto"/>
              <w:rPr>
                <w:rFonts w:eastAsia="Times New Roman"/>
                <w:color w:val="000000"/>
                <w:lang w:eastAsia="nl-NL"/>
              </w:rPr>
            </w:pPr>
            <w:r w:rsidRPr="00032E1B">
              <w:rPr>
                <w:rFonts w:eastAsia="Times New Roman"/>
                <w:color w:val="000000"/>
                <w:lang w:eastAsia="nl-NL"/>
              </w:rPr>
              <w:t>Meervoudig onderhands (&gt; 3 offertes &lt; 5). Indien er sprake is van een grensoverschrijdend belang dan nationale aanbesteding (publicatie)</w:t>
            </w:r>
          </w:p>
        </w:tc>
        <w:tc>
          <w:tcPr>
            <w:tcW w:w="3178" w:type="dxa"/>
            <w:tcBorders>
              <w:top w:val="nil"/>
              <w:left w:val="nil"/>
              <w:bottom w:val="single" w:sz="4" w:space="0" w:color="auto"/>
              <w:right w:val="single" w:sz="8" w:space="0" w:color="auto"/>
            </w:tcBorders>
          </w:tcPr>
          <w:p w14:paraId="736790DE" w14:textId="77777777" w:rsidR="00D40187" w:rsidRPr="00D40187" w:rsidRDefault="00D40187" w:rsidP="00D40187">
            <w:pPr>
              <w:spacing w:line="240" w:lineRule="auto"/>
              <w:jc w:val="center"/>
              <w:rPr>
                <w:rFonts w:eastAsia="Times New Roman"/>
                <w:color w:val="000000"/>
                <w:lang w:eastAsia="nl-NL"/>
              </w:rPr>
            </w:pPr>
            <w:r w:rsidRPr="00032E1B">
              <w:rPr>
                <w:rFonts w:eastAsia="Times New Roman"/>
                <w:color w:val="000000"/>
                <w:lang w:eastAsia="nl-NL"/>
              </w:rPr>
              <w:t>college van bestuur</w:t>
            </w:r>
          </w:p>
        </w:tc>
      </w:tr>
      <w:tr w:rsidR="00D40187" w:rsidRPr="00D40187" w14:paraId="054D3B09" w14:textId="77777777" w:rsidTr="007F1AF2">
        <w:trPr>
          <w:trHeight w:val="423"/>
        </w:trPr>
        <w:tc>
          <w:tcPr>
            <w:tcW w:w="1383" w:type="dxa"/>
            <w:tcBorders>
              <w:top w:val="nil"/>
              <w:left w:val="single" w:sz="8" w:space="0" w:color="auto"/>
              <w:bottom w:val="single" w:sz="4" w:space="0" w:color="auto"/>
              <w:right w:val="single" w:sz="4" w:space="0" w:color="auto"/>
            </w:tcBorders>
            <w:shd w:val="clear" w:color="auto" w:fill="auto"/>
            <w:vAlign w:val="center"/>
            <w:hideMark/>
          </w:tcPr>
          <w:p w14:paraId="5AA5E1AA" w14:textId="77777777" w:rsidR="00D40187" w:rsidRPr="00D40187" w:rsidRDefault="00D40187" w:rsidP="00D40187">
            <w:pPr>
              <w:spacing w:line="240" w:lineRule="auto"/>
              <w:jc w:val="center"/>
              <w:rPr>
                <w:rFonts w:eastAsia="Times New Roman"/>
                <w:color w:val="000000"/>
                <w:lang w:eastAsia="nl-NL"/>
              </w:rPr>
            </w:pPr>
            <w:r w:rsidRPr="00D40187">
              <w:rPr>
                <w:rFonts w:eastAsia="Times New Roman"/>
                <w:color w:val="000000"/>
                <w:lang w:eastAsia="nl-NL"/>
              </w:rPr>
              <w:t>€  33.000</w:t>
            </w:r>
          </w:p>
        </w:tc>
        <w:tc>
          <w:tcPr>
            <w:tcW w:w="1404" w:type="dxa"/>
            <w:tcBorders>
              <w:top w:val="nil"/>
              <w:left w:val="nil"/>
              <w:bottom w:val="single" w:sz="4" w:space="0" w:color="auto"/>
              <w:right w:val="single" w:sz="4" w:space="0" w:color="auto"/>
            </w:tcBorders>
            <w:shd w:val="clear" w:color="auto" w:fill="auto"/>
            <w:vAlign w:val="center"/>
            <w:hideMark/>
          </w:tcPr>
          <w:p w14:paraId="28CF0C54" w14:textId="77777777" w:rsidR="00D40187" w:rsidRPr="00D40187" w:rsidRDefault="00D40187" w:rsidP="00D40187">
            <w:pPr>
              <w:spacing w:line="240" w:lineRule="auto"/>
              <w:jc w:val="center"/>
              <w:rPr>
                <w:rFonts w:eastAsia="Times New Roman"/>
                <w:color w:val="000000"/>
                <w:lang w:eastAsia="nl-NL"/>
              </w:rPr>
            </w:pPr>
            <w:r w:rsidRPr="00D40187">
              <w:rPr>
                <w:rFonts w:eastAsia="Times New Roman"/>
                <w:color w:val="000000"/>
                <w:lang w:eastAsia="nl-NL"/>
              </w:rPr>
              <w:t>€  50.000</w:t>
            </w:r>
          </w:p>
        </w:tc>
        <w:tc>
          <w:tcPr>
            <w:tcW w:w="3190" w:type="dxa"/>
            <w:tcBorders>
              <w:top w:val="nil"/>
              <w:left w:val="nil"/>
              <w:bottom w:val="single" w:sz="4" w:space="0" w:color="auto"/>
              <w:right w:val="single" w:sz="8" w:space="0" w:color="auto"/>
            </w:tcBorders>
            <w:shd w:val="clear" w:color="auto" w:fill="auto"/>
            <w:vAlign w:val="center"/>
            <w:hideMark/>
          </w:tcPr>
          <w:p w14:paraId="2A18B6A1" w14:textId="77777777" w:rsidR="00D40187" w:rsidRPr="00D40187" w:rsidRDefault="00D40187" w:rsidP="00D40187">
            <w:pPr>
              <w:spacing w:line="240" w:lineRule="auto"/>
              <w:rPr>
                <w:rFonts w:eastAsia="Times New Roman"/>
                <w:color w:val="000000"/>
                <w:lang w:eastAsia="nl-NL"/>
              </w:rPr>
            </w:pPr>
            <w:r w:rsidRPr="00D40187">
              <w:rPr>
                <w:rFonts w:eastAsia="Times New Roman"/>
                <w:color w:val="000000"/>
                <w:lang w:eastAsia="nl-NL"/>
              </w:rPr>
              <w:t>Enkelvoudig onderhandse gunning OF meervoudig onderhands (</w:t>
            </w:r>
            <w:r w:rsidRPr="00D40187">
              <w:rPr>
                <w:rFonts w:eastAsia="Times New Roman"/>
                <w:color w:val="000000"/>
                <w:u w:val="single"/>
                <w:lang w:eastAsia="nl-NL"/>
              </w:rPr>
              <w:t>&gt;</w:t>
            </w:r>
            <w:r w:rsidRPr="00D40187">
              <w:rPr>
                <w:rFonts w:eastAsia="Times New Roman"/>
                <w:color w:val="000000"/>
                <w:lang w:eastAsia="nl-NL"/>
              </w:rPr>
              <w:t xml:space="preserve"> 3 offertes </w:t>
            </w:r>
            <w:r w:rsidRPr="00D40187">
              <w:rPr>
                <w:rFonts w:eastAsia="Times New Roman"/>
                <w:color w:val="000000"/>
                <w:u w:val="single"/>
                <w:lang w:eastAsia="nl-NL"/>
              </w:rPr>
              <w:t>&lt;</w:t>
            </w:r>
            <w:r w:rsidRPr="00D40187">
              <w:rPr>
                <w:rFonts w:eastAsia="Times New Roman"/>
                <w:color w:val="000000"/>
                <w:lang w:eastAsia="nl-NL"/>
              </w:rPr>
              <w:t xml:space="preserve"> 5).</w:t>
            </w:r>
          </w:p>
        </w:tc>
        <w:tc>
          <w:tcPr>
            <w:tcW w:w="3178" w:type="dxa"/>
            <w:vMerge w:val="restart"/>
            <w:tcBorders>
              <w:top w:val="nil"/>
              <w:left w:val="nil"/>
              <w:right w:val="single" w:sz="8" w:space="0" w:color="auto"/>
            </w:tcBorders>
          </w:tcPr>
          <w:p w14:paraId="1122F63D" w14:textId="77777777" w:rsidR="00D40187" w:rsidRPr="00D40187" w:rsidRDefault="00D40187" w:rsidP="00D40187">
            <w:pPr>
              <w:spacing w:line="240" w:lineRule="auto"/>
              <w:jc w:val="center"/>
              <w:rPr>
                <w:rFonts w:eastAsia="Times New Roman"/>
                <w:color w:val="000000"/>
                <w:lang w:eastAsia="nl-NL"/>
              </w:rPr>
            </w:pPr>
            <w:r w:rsidRPr="00D40187">
              <w:rPr>
                <w:rFonts w:eastAsia="Times New Roman"/>
                <w:color w:val="000000"/>
                <w:lang w:eastAsia="nl-NL"/>
              </w:rPr>
              <w:t>Enkelvoudige onderhandse gunning: directie en hoofden, meervoudige onderhandse aanbesteding college van bestuur</w:t>
            </w:r>
            <w:r w:rsidRPr="00D40187">
              <w:rPr>
                <w:rFonts w:eastAsia="Times New Roman"/>
                <w:color w:val="000000"/>
                <w:vertAlign w:val="superscript"/>
                <w:lang w:eastAsia="nl-NL"/>
              </w:rPr>
              <w:footnoteReference w:id="6"/>
            </w:r>
            <w:r w:rsidRPr="00D40187">
              <w:rPr>
                <w:rFonts w:eastAsia="Times New Roman"/>
                <w:color w:val="000000"/>
                <w:lang w:eastAsia="nl-NL"/>
              </w:rPr>
              <w:t>.</w:t>
            </w:r>
          </w:p>
        </w:tc>
      </w:tr>
      <w:tr w:rsidR="00D40187" w:rsidRPr="00D40187" w14:paraId="1C0D8C10" w14:textId="77777777" w:rsidTr="007F1AF2">
        <w:trPr>
          <w:trHeight w:val="423"/>
        </w:trPr>
        <w:tc>
          <w:tcPr>
            <w:tcW w:w="1383" w:type="dxa"/>
            <w:tcBorders>
              <w:top w:val="nil"/>
              <w:left w:val="single" w:sz="8" w:space="0" w:color="auto"/>
              <w:bottom w:val="single" w:sz="8" w:space="0" w:color="auto"/>
              <w:right w:val="single" w:sz="4" w:space="0" w:color="auto"/>
            </w:tcBorders>
            <w:shd w:val="clear" w:color="auto" w:fill="auto"/>
            <w:vAlign w:val="center"/>
            <w:hideMark/>
          </w:tcPr>
          <w:p w14:paraId="7EDE7692" w14:textId="77777777" w:rsidR="00D40187" w:rsidRPr="00D40187" w:rsidRDefault="00D40187" w:rsidP="00D40187">
            <w:pPr>
              <w:spacing w:line="240" w:lineRule="auto"/>
              <w:jc w:val="center"/>
              <w:rPr>
                <w:rFonts w:eastAsia="Times New Roman"/>
                <w:color w:val="000000"/>
                <w:lang w:eastAsia="nl-NL"/>
              </w:rPr>
            </w:pPr>
            <w:r w:rsidRPr="00D40187">
              <w:rPr>
                <w:rFonts w:eastAsia="Times New Roman"/>
                <w:color w:val="000000"/>
                <w:lang w:eastAsia="nl-NL"/>
              </w:rPr>
              <w:t>€ 0,--</w:t>
            </w:r>
          </w:p>
        </w:tc>
        <w:tc>
          <w:tcPr>
            <w:tcW w:w="1404" w:type="dxa"/>
            <w:tcBorders>
              <w:top w:val="nil"/>
              <w:left w:val="nil"/>
              <w:bottom w:val="single" w:sz="8" w:space="0" w:color="auto"/>
              <w:right w:val="single" w:sz="4" w:space="0" w:color="auto"/>
            </w:tcBorders>
            <w:shd w:val="clear" w:color="auto" w:fill="auto"/>
            <w:vAlign w:val="center"/>
            <w:hideMark/>
          </w:tcPr>
          <w:p w14:paraId="3777C8FC" w14:textId="77777777" w:rsidR="00D40187" w:rsidRPr="00D40187" w:rsidRDefault="00D40187" w:rsidP="00D40187">
            <w:pPr>
              <w:spacing w:line="240" w:lineRule="auto"/>
              <w:jc w:val="center"/>
              <w:rPr>
                <w:rFonts w:eastAsia="Times New Roman"/>
                <w:color w:val="000000"/>
                <w:lang w:eastAsia="nl-NL"/>
              </w:rPr>
            </w:pPr>
            <w:r w:rsidRPr="00D40187">
              <w:rPr>
                <w:rFonts w:eastAsia="Times New Roman"/>
                <w:color w:val="000000"/>
                <w:lang w:eastAsia="nl-NL"/>
              </w:rPr>
              <w:t>€ 33.000</w:t>
            </w:r>
          </w:p>
        </w:tc>
        <w:tc>
          <w:tcPr>
            <w:tcW w:w="3190" w:type="dxa"/>
            <w:tcBorders>
              <w:top w:val="nil"/>
              <w:left w:val="nil"/>
              <w:bottom w:val="single" w:sz="8" w:space="0" w:color="auto"/>
              <w:right w:val="single" w:sz="8" w:space="0" w:color="auto"/>
            </w:tcBorders>
            <w:shd w:val="clear" w:color="auto" w:fill="auto"/>
            <w:vAlign w:val="center"/>
            <w:hideMark/>
          </w:tcPr>
          <w:p w14:paraId="09662E76" w14:textId="77777777" w:rsidR="00D40187" w:rsidRPr="00D40187" w:rsidRDefault="00D40187" w:rsidP="00D40187">
            <w:pPr>
              <w:spacing w:line="240" w:lineRule="auto"/>
              <w:rPr>
                <w:rFonts w:eastAsia="Times New Roman"/>
                <w:color w:val="000000"/>
                <w:lang w:eastAsia="nl-NL"/>
              </w:rPr>
            </w:pPr>
            <w:r w:rsidRPr="00D40187">
              <w:rPr>
                <w:rFonts w:eastAsia="Times New Roman"/>
                <w:color w:val="000000"/>
                <w:lang w:eastAsia="nl-NL"/>
              </w:rPr>
              <w:t>Enkelvoudig onderhandse (één op één) gunning</w:t>
            </w:r>
          </w:p>
        </w:tc>
        <w:tc>
          <w:tcPr>
            <w:tcW w:w="3178" w:type="dxa"/>
            <w:vMerge/>
            <w:tcBorders>
              <w:left w:val="nil"/>
              <w:bottom w:val="single" w:sz="8" w:space="0" w:color="auto"/>
              <w:right w:val="single" w:sz="8" w:space="0" w:color="auto"/>
            </w:tcBorders>
          </w:tcPr>
          <w:p w14:paraId="30112036" w14:textId="77777777" w:rsidR="00D40187" w:rsidRPr="00D40187" w:rsidRDefault="00D40187" w:rsidP="00D40187">
            <w:pPr>
              <w:spacing w:line="240" w:lineRule="auto"/>
              <w:rPr>
                <w:rFonts w:eastAsia="Times New Roman"/>
                <w:color w:val="000000"/>
                <w:lang w:eastAsia="nl-NL"/>
              </w:rPr>
            </w:pPr>
          </w:p>
        </w:tc>
      </w:tr>
      <w:tr w:rsidR="00D40187" w:rsidRPr="00D40187" w14:paraId="2C5C5A9C" w14:textId="77777777" w:rsidTr="007F1AF2">
        <w:trPr>
          <w:trHeight w:val="423"/>
        </w:trPr>
        <w:tc>
          <w:tcPr>
            <w:tcW w:w="9155" w:type="dxa"/>
            <w:gridSpan w:val="4"/>
            <w:tcBorders>
              <w:top w:val="single" w:sz="8" w:space="0" w:color="auto"/>
              <w:left w:val="single" w:sz="8" w:space="0" w:color="auto"/>
              <w:bottom w:val="single" w:sz="4" w:space="0" w:color="auto"/>
              <w:right w:val="single" w:sz="8" w:space="0" w:color="000000"/>
            </w:tcBorders>
            <w:shd w:val="clear" w:color="000000" w:fill="C0C0C0"/>
            <w:hideMark/>
          </w:tcPr>
          <w:p w14:paraId="4EC3107D" w14:textId="77777777" w:rsidR="00D40187" w:rsidRPr="00D40187" w:rsidRDefault="00D40187" w:rsidP="00D40187">
            <w:pPr>
              <w:spacing w:line="240" w:lineRule="auto"/>
              <w:jc w:val="center"/>
              <w:rPr>
                <w:rFonts w:eastAsia="Times New Roman"/>
                <w:b/>
                <w:bCs/>
                <w:color w:val="000000"/>
                <w:lang w:eastAsia="nl-NL"/>
              </w:rPr>
            </w:pPr>
            <w:r w:rsidRPr="00D40187">
              <w:rPr>
                <w:rFonts w:eastAsia="Times New Roman"/>
                <w:b/>
                <w:bCs/>
                <w:color w:val="000000"/>
                <w:lang w:eastAsia="nl-NL"/>
              </w:rPr>
              <w:t>werken</w:t>
            </w:r>
          </w:p>
        </w:tc>
      </w:tr>
      <w:tr w:rsidR="00D40187" w:rsidRPr="00D40187" w14:paraId="1F4B216D" w14:textId="77777777" w:rsidTr="007F1AF2">
        <w:trPr>
          <w:trHeight w:val="856"/>
        </w:trPr>
        <w:tc>
          <w:tcPr>
            <w:tcW w:w="2787" w:type="dxa"/>
            <w:gridSpan w:val="2"/>
            <w:tcBorders>
              <w:top w:val="single" w:sz="4" w:space="0" w:color="auto"/>
              <w:left w:val="single" w:sz="8" w:space="0" w:color="auto"/>
              <w:bottom w:val="single" w:sz="4" w:space="0" w:color="000000"/>
              <w:right w:val="single" w:sz="4" w:space="0" w:color="000000"/>
            </w:tcBorders>
            <w:shd w:val="clear" w:color="000000" w:fill="C0C0C0"/>
            <w:hideMark/>
          </w:tcPr>
          <w:p w14:paraId="6E0CEC49" w14:textId="77777777" w:rsidR="00D40187" w:rsidRPr="00D40187" w:rsidRDefault="00D40187" w:rsidP="00D40187">
            <w:pPr>
              <w:spacing w:line="240" w:lineRule="auto"/>
              <w:rPr>
                <w:rFonts w:eastAsia="Times New Roman"/>
                <w:b/>
                <w:bCs/>
                <w:color w:val="000000"/>
                <w:lang w:eastAsia="nl-NL"/>
              </w:rPr>
            </w:pPr>
            <w:r w:rsidRPr="00D40187">
              <w:rPr>
                <w:rFonts w:eastAsia="Times New Roman"/>
                <w:b/>
                <w:bCs/>
                <w:color w:val="000000"/>
                <w:lang w:eastAsia="nl-NL"/>
              </w:rPr>
              <w:t>bedrag excl. BTW           (totale contractduur)</w:t>
            </w:r>
          </w:p>
        </w:tc>
        <w:tc>
          <w:tcPr>
            <w:tcW w:w="3190" w:type="dxa"/>
            <w:vMerge w:val="restart"/>
            <w:tcBorders>
              <w:top w:val="nil"/>
              <w:left w:val="single" w:sz="4" w:space="0" w:color="auto"/>
              <w:bottom w:val="single" w:sz="8" w:space="0" w:color="000000"/>
              <w:right w:val="single" w:sz="8" w:space="0" w:color="auto"/>
            </w:tcBorders>
            <w:shd w:val="clear" w:color="000000" w:fill="C0C0C0"/>
            <w:hideMark/>
          </w:tcPr>
          <w:p w14:paraId="00D18FA7" w14:textId="77777777" w:rsidR="00D40187" w:rsidRPr="00D40187" w:rsidRDefault="00D40187" w:rsidP="00D40187">
            <w:pPr>
              <w:spacing w:line="240" w:lineRule="auto"/>
              <w:jc w:val="center"/>
              <w:rPr>
                <w:rFonts w:eastAsia="Times New Roman"/>
                <w:b/>
                <w:bCs/>
                <w:color w:val="000000"/>
                <w:lang w:eastAsia="nl-NL"/>
              </w:rPr>
            </w:pPr>
            <w:r w:rsidRPr="00D40187">
              <w:rPr>
                <w:rFonts w:eastAsia="Times New Roman"/>
                <w:b/>
                <w:bCs/>
                <w:color w:val="000000"/>
                <w:lang w:eastAsia="nl-NL"/>
              </w:rPr>
              <w:t>procedure</w:t>
            </w:r>
          </w:p>
        </w:tc>
        <w:tc>
          <w:tcPr>
            <w:tcW w:w="3178" w:type="dxa"/>
            <w:vMerge w:val="restart"/>
            <w:tcBorders>
              <w:top w:val="nil"/>
              <w:left w:val="single" w:sz="4" w:space="0" w:color="auto"/>
              <w:bottom w:val="nil"/>
              <w:right w:val="single" w:sz="8" w:space="0" w:color="auto"/>
            </w:tcBorders>
            <w:shd w:val="clear" w:color="000000" w:fill="C0C0C0"/>
          </w:tcPr>
          <w:p w14:paraId="0280B923" w14:textId="77777777" w:rsidR="00D40187" w:rsidRPr="00D40187" w:rsidRDefault="00D40187" w:rsidP="00D40187">
            <w:pPr>
              <w:spacing w:line="240" w:lineRule="auto"/>
              <w:jc w:val="center"/>
              <w:rPr>
                <w:rFonts w:eastAsia="Times New Roman"/>
                <w:b/>
                <w:bCs/>
                <w:color w:val="000000"/>
                <w:lang w:eastAsia="nl-NL"/>
              </w:rPr>
            </w:pPr>
            <w:r w:rsidRPr="00D40187">
              <w:rPr>
                <w:rFonts w:eastAsia="Times New Roman"/>
                <w:b/>
                <w:bCs/>
                <w:color w:val="000000"/>
                <w:lang w:eastAsia="nl-NL"/>
              </w:rPr>
              <w:t>tekenbevoegd</w:t>
            </w:r>
          </w:p>
        </w:tc>
      </w:tr>
      <w:tr w:rsidR="00D40187" w:rsidRPr="00D40187" w14:paraId="59317E66" w14:textId="77777777" w:rsidTr="007F1AF2">
        <w:trPr>
          <w:trHeight w:val="423"/>
        </w:trPr>
        <w:tc>
          <w:tcPr>
            <w:tcW w:w="1383" w:type="dxa"/>
            <w:tcBorders>
              <w:top w:val="nil"/>
              <w:left w:val="single" w:sz="8" w:space="0" w:color="auto"/>
              <w:bottom w:val="single" w:sz="8" w:space="0" w:color="auto"/>
              <w:right w:val="single" w:sz="4" w:space="0" w:color="auto"/>
            </w:tcBorders>
            <w:shd w:val="clear" w:color="000000" w:fill="C0C0C0"/>
            <w:hideMark/>
          </w:tcPr>
          <w:p w14:paraId="204E09EF" w14:textId="77777777" w:rsidR="00D40187" w:rsidRPr="00D40187" w:rsidRDefault="00D40187" w:rsidP="00D40187">
            <w:pPr>
              <w:spacing w:line="240" w:lineRule="auto"/>
              <w:jc w:val="center"/>
              <w:rPr>
                <w:rFonts w:eastAsia="Times New Roman"/>
                <w:b/>
                <w:bCs/>
                <w:color w:val="000000"/>
                <w:lang w:eastAsia="nl-NL"/>
              </w:rPr>
            </w:pPr>
            <w:r w:rsidRPr="00D40187">
              <w:rPr>
                <w:rFonts w:eastAsia="Times New Roman"/>
                <w:b/>
                <w:bCs/>
                <w:color w:val="000000"/>
                <w:lang w:eastAsia="nl-NL"/>
              </w:rPr>
              <w:lastRenderedPageBreak/>
              <w:t>ondergrens</w:t>
            </w:r>
          </w:p>
        </w:tc>
        <w:tc>
          <w:tcPr>
            <w:tcW w:w="1404" w:type="dxa"/>
            <w:tcBorders>
              <w:top w:val="nil"/>
              <w:left w:val="nil"/>
              <w:bottom w:val="single" w:sz="8" w:space="0" w:color="auto"/>
              <w:right w:val="single" w:sz="4" w:space="0" w:color="auto"/>
            </w:tcBorders>
            <w:shd w:val="clear" w:color="000000" w:fill="C0C0C0"/>
            <w:hideMark/>
          </w:tcPr>
          <w:p w14:paraId="6CDFCAE9" w14:textId="77777777" w:rsidR="00D40187" w:rsidRPr="00D40187" w:rsidRDefault="00D40187" w:rsidP="00D40187">
            <w:pPr>
              <w:spacing w:line="240" w:lineRule="auto"/>
              <w:jc w:val="center"/>
              <w:rPr>
                <w:rFonts w:eastAsia="Times New Roman"/>
                <w:b/>
                <w:bCs/>
                <w:color w:val="000000"/>
                <w:lang w:eastAsia="nl-NL"/>
              </w:rPr>
            </w:pPr>
            <w:r w:rsidRPr="00D40187">
              <w:rPr>
                <w:rFonts w:eastAsia="Times New Roman"/>
                <w:b/>
                <w:bCs/>
                <w:color w:val="000000"/>
                <w:lang w:eastAsia="nl-NL"/>
              </w:rPr>
              <w:t>bovengrens</w:t>
            </w:r>
          </w:p>
        </w:tc>
        <w:tc>
          <w:tcPr>
            <w:tcW w:w="3190" w:type="dxa"/>
            <w:vMerge/>
            <w:tcBorders>
              <w:top w:val="nil"/>
              <w:left w:val="single" w:sz="4" w:space="0" w:color="auto"/>
              <w:bottom w:val="single" w:sz="8" w:space="0" w:color="000000"/>
              <w:right w:val="single" w:sz="8" w:space="0" w:color="auto"/>
            </w:tcBorders>
            <w:vAlign w:val="center"/>
            <w:hideMark/>
          </w:tcPr>
          <w:p w14:paraId="60782DDD" w14:textId="77777777" w:rsidR="00D40187" w:rsidRPr="00D40187" w:rsidRDefault="00D40187" w:rsidP="00D40187">
            <w:pPr>
              <w:spacing w:line="240" w:lineRule="auto"/>
              <w:rPr>
                <w:rFonts w:eastAsia="Times New Roman"/>
                <w:b/>
                <w:bCs/>
                <w:color w:val="000000"/>
                <w:lang w:eastAsia="nl-NL"/>
              </w:rPr>
            </w:pPr>
          </w:p>
        </w:tc>
        <w:tc>
          <w:tcPr>
            <w:tcW w:w="3178" w:type="dxa"/>
            <w:vMerge/>
            <w:tcBorders>
              <w:left w:val="single" w:sz="4" w:space="0" w:color="auto"/>
              <w:bottom w:val="single" w:sz="8" w:space="0" w:color="000000"/>
              <w:right w:val="single" w:sz="8" w:space="0" w:color="auto"/>
            </w:tcBorders>
          </w:tcPr>
          <w:p w14:paraId="7D845804" w14:textId="77777777" w:rsidR="00D40187" w:rsidRPr="00D40187" w:rsidRDefault="00D40187" w:rsidP="00D40187">
            <w:pPr>
              <w:spacing w:line="240" w:lineRule="auto"/>
              <w:rPr>
                <w:rFonts w:eastAsia="Times New Roman"/>
                <w:b/>
                <w:bCs/>
                <w:color w:val="000000"/>
                <w:lang w:eastAsia="nl-NL"/>
              </w:rPr>
            </w:pPr>
          </w:p>
        </w:tc>
      </w:tr>
      <w:tr w:rsidR="00D40187" w:rsidRPr="00032E1B" w14:paraId="5DFFB151" w14:textId="77777777" w:rsidTr="007F1AF2">
        <w:trPr>
          <w:trHeight w:val="423"/>
        </w:trPr>
        <w:tc>
          <w:tcPr>
            <w:tcW w:w="1383" w:type="dxa"/>
            <w:tcBorders>
              <w:top w:val="nil"/>
              <w:left w:val="single" w:sz="8" w:space="0" w:color="auto"/>
              <w:bottom w:val="single" w:sz="4" w:space="0" w:color="auto"/>
              <w:right w:val="single" w:sz="4" w:space="0" w:color="auto"/>
            </w:tcBorders>
            <w:shd w:val="clear" w:color="auto" w:fill="auto"/>
            <w:vAlign w:val="center"/>
            <w:hideMark/>
          </w:tcPr>
          <w:p w14:paraId="5ACAED17" w14:textId="77777777" w:rsidR="00D40187" w:rsidRPr="00032E1B" w:rsidRDefault="00D40187" w:rsidP="00612302">
            <w:pPr>
              <w:spacing w:line="240" w:lineRule="auto"/>
              <w:jc w:val="center"/>
              <w:rPr>
                <w:rFonts w:eastAsia="Times New Roman"/>
                <w:color w:val="000000"/>
                <w:lang w:eastAsia="nl-NL"/>
              </w:rPr>
            </w:pPr>
            <w:r w:rsidRPr="00032E1B">
              <w:rPr>
                <w:rFonts w:eastAsia="Times New Roman"/>
                <w:color w:val="000000"/>
                <w:lang w:eastAsia="nl-NL"/>
              </w:rPr>
              <w:t>€ 5.</w:t>
            </w:r>
            <w:r w:rsidR="00612302" w:rsidRPr="00032E1B">
              <w:rPr>
                <w:rFonts w:eastAsia="Times New Roman"/>
                <w:color w:val="000000"/>
                <w:lang w:eastAsia="nl-NL"/>
              </w:rPr>
              <w:t>350</w:t>
            </w:r>
            <w:r w:rsidRPr="00032E1B">
              <w:rPr>
                <w:rFonts w:eastAsia="Times New Roman"/>
                <w:color w:val="000000"/>
                <w:lang w:eastAsia="nl-NL"/>
              </w:rPr>
              <w:t>.000</w:t>
            </w:r>
          </w:p>
        </w:tc>
        <w:tc>
          <w:tcPr>
            <w:tcW w:w="1404" w:type="dxa"/>
            <w:tcBorders>
              <w:top w:val="nil"/>
              <w:left w:val="nil"/>
              <w:bottom w:val="single" w:sz="4" w:space="0" w:color="auto"/>
              <w:right w:val="single" w:sz="4" w:space="0" w:color="auto"/>
            </w:tcBorders>
            <w:shd w:val="clear" w:color="auto" w:fill="auto"/>
            <w:vAlign w:val="center"/>
            <w:hideMark/>
          </w:tcPr>
          <w:p w14:paraId="35F6639F" w14:textId="77777777" w:rsidR="00D40187" w:rsidRPr="00032E1B" w:rsidRDefault="00D40187" w:rsidP="00D40187">
            <w:pPr>
              <w:spacing w:line="240" w:lineRule="auto"/>
              <w:jc w:val="center"/>
              <w:rPr>
                <w:rFonts w:eastAsia="Times New Roman"/>
                <w:color w:val="000000"/>
                <w:lang w:eastAsia="nl-NL"/>
              </w:rPr>
            </w:pPr>
            <w:r w:rsidRPr="00032E1B">
              <w:rPr>
                <w:rFonts w:eastAsia="Times New Roman"/>
                <w:color w:val="000000"/>
                <w:lang w:eastAsia="nl-NL"/>
              </w:rPr>
              <w:t>-</w:t>
            </w:r>
          </w:p>
        </w:tc>
        <w:tc>
          <w:tcPr>
            <w:tcW w:w="3190" w:type="dxa"/>
            <w:tcBorders>
              <w:top w:val="nil"/>
              <w:left w:val="nil"/>
              <w:bottom w:val="single" w:sz="4" w:space="0" w:color="auto"/>
              <w:right w:val="single" w:sz="8" w:space="0" w:color="auto"/>
            </w:tcBorders>
            <w:shd w:val="clear" w:color="auto" w:fill="auto"/>
            <w:vAlign w:val="center"/>
            <w:hideMark/>
          </w:tcPr>
          <w:p w14:paraId="4858A38D" w14:textId="77777777" w:rsidR="00D40187" w:rsidRPr="00032E1B" w:rsidRDefault="00D40187" w:rsidP="00D40187">
            <w:pPr>
              <w:spacing w:line="240" w:lineRule="auto"/>
              <w:rPr>
                <w:rFonts w:eastAsia="Times New Roman"/>
                <w:color w:val="000000"/>
                <w:lang w:eastAsia="nl-NL"/>
              </w:rPr>
            </w:pPr>
            <w:r w:rsidRPr="00032E1B">
              <w:rPr>
                <w:rFonts w:eastAsia="Times New Roman"/>
                <w:color w:val="000000"/>
                <w:lang w:eastAsia="nl-NL"/>
              </w:rPr>
              <w:t>Europese aanbesteding</w:t>
            </w:r>
          </w:p>
        </w:tc>
        <w:tc>
          <w:tcPr>
            <w:tcW w:w="3178" w:type="dxa"/>
            <w:tcBorders>
              <w:top w:val="nil"/>
              <w:left w:val="nil"/>
              <w:bottom w:val="single" w:sz="4" w:space="0" w:color="auto"/>
              <w:right w:val="single" w:sz="8" w:space="0" w:color="auto"/>
            </w:tcBorders>
          </w:tcPr>
          <w:p w14:paraId="0B873B6E" w14:textId="77777777" w:rsidR="00D40187" w:rsidRPr="00032E1B" w:rsidRDefault="00D40187" w:rsidP="00D40187">
            <w:pPr>
              <w:spacing w:line="240" w:lineRule="auto"/>
              <w:jc w:val="center"/>
              <w:rPr>
                <w:rFonts w:eastAsia="Times New Roman"/>
                <w:color w:val="000000"/>
                <w:lang w:eastAsia="nl-NL"/>
              </w:rPr>
            </w:pPr>
            <w:r w:rsidRPr="00032E1B">
              <w:rPr>
                <w:rFonts w:eastAsia="Times New Roman"/>
                <w:color w:val="000000"/>
                <w:lang w:eastAsia="nl-NL"/>
              </w:rPr>
              <w:t>college van bestuur</w:t>
            </w:r>
          </w:p>
        </w:tc>
      </w:tr>
      <w:tr w:rsidR="00D40187" w:rsidRPr="00032E1B" w14:paraId="0025BF32" w14:textId="77777777" w:rsidTr="007F1AF2">
        <w:trPr>
          <w:trHeight w:val="423"/>
        </w:trPr>
        <w:tc>
          <w:tcPr>
            <w:tcW w:w="1383" w:type="dxa"/>
            <w:tcBorders>
              <w:top w:val="nil"/>
              <w:left w:val="single" w:sz="8" w:space="0" w:color="auto"/>
              <w:bottom w:val="single" w:sz="4" w:space="0" w:color="auto"/>
              <w:right w:val="single" w:sz="4" w:space="0" w:color="auto"/>
            </w:tcBorders>
            <w:shd w:val="clear" w:color="auto" w:fill="auto"/>
            <w:vAlign w:val="center"/>
            <w:hideMark/>
          </w:tcPr>
          <w:p w14:paraId="35425FC5" w14:textId="77777777" w:rsidR="00D40187" w:rsidRPr="00032E1B" w:rsidRDefault="00D40187" w:rsidP="00D40187">
            <w:pPr>
              <w:spacing w:line="240" w:lineRule="auto"/>
              <w:jc w:val="center"/>
              <w:rPr>
                <w:rFonts w:eastAsia="Times New Roman"/>
                <w:color w:val="000000"/>
                <w:lang w:eastAsia="nl-NL"/>
              </w:rPr>
            </w:pPr>
            <w:r w:rsidRPr="00032E1B">
              <w:rPr>
                <w:rFonts w:eastAsia="Times New Roman"/>
                <w:color w:val="000000"/>
                <w:lang w:eastAsia="nl-NL"/>
              </w:rPr>
              <w:t>€ 1.500.000</w:t>
            </w:r>
          </w:p>
        </w:tc>
        <w:tc>
          <w:tcPr>
            <w:tcW w:w="1404" w:type="dxa"/>
            <w:tcBorders>
              <w:top w:val="nil"/>
              <w:left w:val="nil"/>
              <w:bottom w:val="single" w:sz="4" w:space="0" w:color="auto"/>
              <w:right w:val="single" w:sz="4" w:space="0" w:color="auto"/>
            </w:tcBorders>
            <w:shd w:val="clear" w:color="auto" w:fill="auto"/>
            <w:vAlign w:val="center"/>
            <w:hideMark/>
          </w:tcPr>
          <w:p w14:paraId="4E60DF42" w14:textId="77777777" w:rsidR="00D40187" w:rsidRPr="00032E1B" w:rsidRDefault="00D40187" w:rsidP="001C7925">
            <w:pPr>
              <w:spacing w:line="240" w:lineRule="auto"/>
              <w:jc w:val="center"/>
              <w:rPr>
                <w:rFonts w:eastAsia="Times New Roman"/>
                <w:color w:val="000000"/>
                <w:lang w:eastAsia="nl-NL"/>
              </w:rPr>
            </w:pPr>
            <w:r w:rsidRPr="00032E1B">
              <w:rPr>
                <w:rFonts w:eastAsia="Times New Roman"/>
                <w:color w:val="000000"/>
                <w:lang w:eastAsia="nl-NL"/>
              </w:rPr>
              <w:t>€ 5.</w:t>
            </w:r>
            <w:r w:rsidR="00612302" w:rsidRPr="00032E1B">
              <w:rPr>
                <w:rFonts w:eastAsia="Times New Roman"/>
                <w:color w:val="000000"/>
                <w:lang w:eastAsia="nl-NL"/>
              </w:rPr>
              <w:t>350</w:t>
            </w:r>
            <w:r w:rsidRPr="00032E1B">
              <w:rPr>
                <w:rFonts w:eastAsia="Times New Roman"/>
                <w:color w:val="000000"/>
                <w:lang w:eastAsia="nl-NL"/>
              </w:rPr>
              <w:t>.000</w:t>
            </w:r>
          </w:p>
        </w:tc>
        <w:tc>
          <w:tcPr>
            <w:tcW w:w="3190" w:type="dxa"/>
            <w:tcBorders>
              <w:top w:val="nil"/>
              <w:left w:val="nil"/>
              <w:bottom w:val="single" w:sz="4" w:space="0" w:color="auto"/>
              <w:right w:val="single" w:sz="8" w:space="0" w:color="auto"/>
            </w:tcBorders>
            <w:shd w:val="clear" w:color="auto" w:fill="auto"/>
            <w:vAlign w:val="center"/>
            <w:hideMark/>
          </w:tcPr>
          <w:p w14:paraId="7561C6E2" w14:textId="77777777" w:rsidR="00D40187" w:rsidRPr="00032E1B" w:rsidRDefault="00D40187" w:rsidP="00D40187">
            <w:pPr>
              <w:spacing w:line="240" w:lineRule="auto"/>
              <w:rPr>
                <w:rFonts w:eastAsia="Times New Roman"/>
                <w:color w:val="000000"/>
                <w:lang w:eastAsia="nl-NL"/>
              </w:rPr>
            </w:pPr>
            <w:r w:rsidRPr="00032E1B">
              <w:rPr>
                <w:rFonts w:eastAsia="Times New Roman"/>
                <w:color w:val="000000"/>
                <w:lang w:eastAsia="nl-NL"/>
              </w:rPr>
              <w:t>Nationale aanbesteding (publicatie)</w:t>
            </w:r>
          </w:p>
        </w:tc>
        <w:tc>
          <w:tcPr>
            <w:tcW w:w="3178" w:type="dxa"/>
            <w:tcBorders>
              <w:top w:val="nil"/>
              <w:left w:val="nil"/>
              <w:bottom w:val="single" w:sz="4" w:space="0" w:color="auto"/>
              <w:right w:val="single" w:sz="8" w:space="0" w:color="auto"/>
            </w:tcBorders>
          </w:tcPr>
          <w:p w14:paraId="4317B91F" w14:textId="77777777" w:rsidR="00D40187" w:rsidRPr="00032E1B" w:rsidRDefault="00D40187" w:rsidP="00D40187">
            <w:pPr>
              <w:spacing w:line="240" w:lineRule="auto"/>
              <w:jc w:val="center"/>
              <w:rPr>
                <w:rFonts w:eastAsia="Times New Roman"/>
                <w:color w:val="000000"/>
                <w:lang w:eastAsia="nl-NL"/>
              </w:rPr>
            </w:pPr>
            <w:r w:rsidRPr="00032E1B">
              <w:rPr>
                <w:rFonts w:eastAsia="Times New Roman"/>
                <w:color w:val="000000"/>
                <w:lang w:eastAsia="nl-NL"/>
              </w:rPr>
              <w:t>college van bestuur</w:t>
            </w:r>
          </w:p>
        </w:tc>
      </w:tr>
      <w:tr w:rsidR="00D40187" w:rsidRPr="00032E1B" w14:paraId="4420E23C" w14:textId="77777777" w:rsidTr="007F1AF2">
        <w:trPr>
          <w:trHeight w:val="423"/>
        </w:trPr>
        <w:tc>
          <w:tcPr>
            <w:tcW w:w="1383" w:type="dxa"/>
            <w:tcBorders>
              <w:top w:val="nil"/>
              <w:left w:val="single" w:sz="8" w:space="0" w:color="auto"/>
              <w:bottom w:val="single" w:sz="4" w:space="0" w:color="auto"/>
              <w:right w:val="single" w:sz="4" w:space="0" w:color="auto"/>
            </w:tcBorders>
            <w:shd w:val="clear" w:color="auto" w:fill="auto"/>
            <w:vAlign w:val="center"/>
            <w:hideMark/>
          </w:tcPr>
          <w:p w14:paraId="432487FA" w14:textId="77777777" w:rsidR="00D40187" w:rsidRPr="00032E1B" w:rsidRDefault="00D40187" w:rsidP="00D40187">
            <w:pPr>
              <w:spacing w:line="240" w:lineRule="auto"/>
              <w:jc w:val="center"/>
              <w:rPr>
                <w:rFonts w:eastAsia="Times New Roman"/>
                <w:color w:val="000000"/>
                <w:lang w:eastAsia="nl-NL"/>
              </w:rPr>
            </w:pPr>
            <w:r w:rsidRPr="00032E1B">
              <w:rPr>
                <w:rFonts w:eastAsia="Times New Roman"/>
                <w:color w:val="000000"/>
                <w:lang w:eastAsia="nl-NL"/>
              </w:rPr>
              <w:t>€  150.000</w:t>
            </w:r>
          </w:p>
        </w:tc>
        <w:tc>
          <w:tcPr>
            <w:tcW w:w="1404" w:type="dxa"/>
            <w:tcBorders>
              <w:top w:val="nil"/>
              <w:left w:val="nil"/>
              <w:bottom w:val="single" w:sz="4" w:space="0" w:color="auto"/>
              <w:right w:val="single" w:sz="4" w:space="0" w:color="auto"/>
            </w:tcBorders>
            <w:shd w:val="clear" w:color="auto" w:fill="auto"/>
            <w:vAlign w:val="center"/>
            <w:hideMark/>
          </w:tcPr>
          <w:p w14:paraId="6B815F1B" w14:textId="77777777" w:rsidR="00D40187" w:rsidRPr="00032E1B" w:rsidRDefault="00D40187" w:rsidP="00D40187">
            <w:pPr>
              <w:spacing w:line="240" w:lineRule="auto"/>
              <w:jc w:val="center"/>
              <w:rPr>
                <w:rFonts w:eastAsia="Times New Roman"/>
                <w:color w:val="000000"/>
                <w:lang w:eastAsia="nl-NL"/>
              </w:rPr>
            </w:pPr>
            <w:r w:rsidRPr="00032E1B">
              <w:rPr>
                <w:rFonts w:eastAsia="Times New Roman"/>
                <w:color w:val="000000"/>
                <w:lang w:eastAsia="nl-NL"/>
              </w:rPr>
              <w:t>€ 1.500.000</w:t>
            </w:r>
          </w:p>
        </w:tc>
        <w:tc>
          <w:tcPr>
            <w:tcW w:w="3190" w:type="dxa"/>
            <w:tcBorders>
              <w:top w:val="nil"/>
              <w:left w:val="nil"/>
              <w:bottom w:val="single" w:sz="4" w:space="0" w:color="auto"/>
              <w:right w:val="single" w:sz="8" w:space="0" w:color="auto"/>
            </w:tcBorders>
            <w:shd w:val="clear" w:color="auto" w:fill="auto"/>
            <w:vAlign w:val="center"/>
            <w:hideMark/>
          </w:tcPr>
          <w:p w14:paraId="5D2A7C81" w14:textId="77777777" w:rsidR="00D40187" w:rsidRPr="00032E1B" w:rsidRDefault="00D40187" w:rsidP="00D40187">
            <w:pPr>
              <w:spacing w:line="240" w:lineRule="auto"/>
              <w:rPr>
                <w:rFonts w:eastAsia="Times New Roman"/>
                <w:color w:val="000000"/>
                <w:lang w:eastAsia="nl-NL"/>
              </w:rPr>
            </w:pPr>
            <w:r w:rsidRPr="00032E1B">
              <w:rPr>
                <w:rFonts w:eastAsia="Times New Roman"/>
                <w:color w:val="000000"/>
                <w:lang w:eastAsia="nl-NL"/>
              </w:rPr>
              <w:t>meervoudig onderhands (&gt; 3 offertes &lt; 5). Indien er sprake is van een grensoverschrijdend belang dan nationale aanbesteding (publicatie)</w:t>
            </w:r>
          </w:p>
        </w:tc>
        <w:tc>
          <w:tcPr>
            <w:tcW w:w="3178" w:type="dxa"/>
            <w:tcBorders>
              <w:top w:val="nil"/>
              <w:left w:val="nil"/>
              <w:bottom w:val="single" w:sz="4" w:space="0" w:color="auto"/>
              <w:right w:val="single" w:sz="8" w:space="0" w:color="auto"/>
            </w:tcBorders>
          </w:tcPr>
          <w:p w14:paraId="41F737B5" w14:textId="77777777" w:rsidR="00D40187" w:rsidRPr="00032E1B" w:rsidRDefault="00D40187" w:rsidP="00D40187">
            <w:pPr>
              <w:spacing w:line="240" w:lineRule="auto"/>
              <w:jc w:val="center"/>
              <w:rPr>
                <w:rFonts w:eastAsia="Times New Roman"/>
                <w:color w:val="000000"/>
                <w:lang w:eastAsia="nl-NL"/>
              </w:rPr>
            </w:pPr>
            <w:r w:rsidRPr="00032E1B">
              <w:rPr>
                <w:rFonts w:eastAsia="Times New Roman"/>
                <w:color w:val="000000"/>
                <w:lang w:eastAsia="nl-NL"/>
              </w:rPr>
              <w:t>college van bestuur</w:t>
            </w:r>
          </w:p>
        </w:tc>
      </w:tr>
      <w:tr w:rsidR="00D40187" w:rsidRPr="00032E1B" w14:paraId="30EFFDCC" w14:textId="77777777" w:rsidTr="007F1AF2">
        <w:trPr>
          <w:trHeight w:val="423"/>
        </w:trPr>
        <w:tc>
          <w:tcPr>
            <w:tcW w:w="1383" w:type="dxa"/>
            <w:tcBorders>
              <w:top w:val="nil"/>
              <w:left w:val="single" w:sz="8" w:space="0" w:color="auto"/>
              <w:bottom w:val="single" w:sz="8" w:space="0" w:color="auto"/>
              <w:right w:val="single" w:sz="4" w:space="0" w:color="auto"/>
            </w:tcBorders>
            <w:shd w:val="clear" w:color="auto" w:fill="auto"/>
            <w:vAlign w:val="center"/>
            <w:hideMark/>
          </w:tcPr>
          <w:p w14:paraId="3C93FC93" w14:textId="77777777" w:rsidR="00D40187" w:rsidRPr="00032E1B" w:rsidRDefault="00D40187" w:rsidP="00D40187">
            <w:pPr>
              <w:spacing w:line="240" w:lineRule="auto"/>
              <w:jc w:val="center"/>
              <w:rPr>
                <w:rFonts w:eastAsia="Times New Roman"/>
                <w:color w:val="000000"/>
                <w:lang w:eastAsia="nl-NL"/>
              </w:rPr>
            </w:pPr>
            <w:r w:rsidRPr="00032E1B">
              <w:rPr>
                <w:rFonts w:eastAsia="Times New Roman"/>
                <w:color w:val="000000"/>
                <w:lang w:eastAsia="nl-NL"/>
              </w:rPr>
              <w:t>€ 0,--</w:t>
            </w:r>
          </w:p>
        </w:tc>
        <w:tc>
          <w:tcPr>
            <w:tcW w:w="1404" w:type="dxa"/>
            <w:tcBorders>
              <w:top w:val="nil"/>
              <w:left w:val="nil"/>
              <w:bottom w:val="single" w:sz="8" w:space="0" w:color="auto"/>
              <w:right w:val="single" w:sz="4" w:space="0" w:color="auto"/>
            </w:tcBorders>
            <w:shd w:val="clear" w:color="auto" w:fill="auto"/>
            <w:vAlign w:val="center"/>
            <w:hideMark/>
          </w:tcPr>
          <w:p w14:paraId="144D7902" w14:textId="77777777" w:rsidR="00D40187" w:rsidRPr="00032E1B" w:rsidRDefault="00D40187" w:rsidP="00D40187">
            <w:pPr>
              <w:spacing w:line="240" w:lineRule="auto"/>
              <w:jc w:val="center"/>
              <w:rPr>
                <w:rFonts w:eastAsia="Times New Roman"/>
                <w:color w:val="000000"/>
                <w:lang w:eastAsia="nl-NL"/>
              </w:rPr>
            </w:pPr>
            <w:r w:rsidRPr="00032E1B">
              <w:rPr>
                <w:rFonts w:eastAsia="Times New Roman"/>
                <w:color w:val="000000"/>
                <w:lang w:eastAsia="nl-NL"/>
              </w:rPr>
              <w:t>€   150.000</w:t>
            </w:r>
          </w:p>
        </w:tc>
        <w:tc>
          <w:tcPr>
            <w:tcW w:w="3190" w:type="dxa"/>
            <w:tcBorders>
              <w:top w:val="nil"/>
              <w:left w:val="nil"/>
              <w:bottom w:val="single" w:sz="8" w:space="0" w:color="auto"/>
              <w:right w:val="single" w:sz="8" w:space="0" w:color="auto"/>
            </w:tcBorders>
            <w:shd w:val="clear" w:color="auto" w:fill="auto"/>
            <w:vAlign w:val="center"/>
            <w:hideMark/>
          </w:tcPr>
          <w:p w14:paraId="7B2800E3" w14:textId="77777777" w:rsidR="00D40187" w:rsidRPr="00032E1B" w:rsidRDefault="00D40187" w:rsidP="00D40187">
            <w:pPr>
              <w:spacing w:line="240" w:lineRule="auto"/>
              <w:rPr>
                <w:rFonts w:eastAsia="Times New Roman"/>
                <w:color w:val="000000"/>
                <w:lang w:eastAsia="nl-NL"/>
              </w:rPr>
            </w:pPr>
            <w:r w:rsidRPr="00032E1B">
              <w:rPr>
                <w:rFonts w:eastAsia="Times New Roman"/>
                <w:color w:val="000000"/>
                <w:lang w:eastAsia="nl-NL"/>
              </w:rPr>
              <w:t>Enkelvoudig onderhandse (één op één) gunning</w:t>
            </w:r>
          </w:p>
        </w:tc>
        <w:tc>
          <w:tcPr>
            <w:tcW w:w="3178" w:type="dxa"/>
            <w:tcBorders>
              <w:top w:val="nil"/>
              <w:left w:val="nil"/>
              <w:bottom w:val="single" w:sz="8" w:space="0" w:color="auto"/>
              <w:right w:val="single" w:sz="8" w:space="0" w:color="auto"/>
            </w:tcBorders>
          </w:tcPr>
          <w:p w14:paraId="48B70963" w14:textId="77777777" w:rsidR="00D40187" w:rsidRPr="00032E1B" w:rsidRDefault="00D40187" w:rsidP="00D40187">
            <w:pPr>
              <w:spacing w:line="240" w:lineRule="auto"/>
              <w:jc w:val="center"/>
              <w:rPr>
                <w:rFonts w:eastAsia="Times New Roman"/>
                <w:color w:val="000000"/>
                <w:lang w:eastAsia="nl-NL"/>
              </w:rPr>
            </w:pPr>
            <w:r w:rsidRPr="00032E1B">
              <w:rPr>
                <w:rFonts w:eastAsia="Times New Roman"/>
                <w:color w:val="000000"/>
                <w:lang w:eastAsia="nl-NL"/>
              </w:rPr>
              <w:t>college van bestuur</w:t>
            </w:r>
          </w:p>
        </w:tc>
      </w:tr>
    </w:tbl>
    <w:p w14:paraId="01E844FE" w14:textId="77777777" w:rsidR="00610232" w:rsidRPr="00032E1B" w:rsidRDefault="00610232" w:rsidP="006A545A"/>
    <w:p w14:paraId="46AB7B7F" w14:textId="77777777" w:rsidR="00D40187" w:rsidRPr="00032E1B" w:rsidRDefault="00D40187" w:rsidP="00D40187">
      <w:r w:rsidRPr="00032E1B">
        <w:t>Deze drempelbedragen Europees aanbesteden gelden vanaf 1 januari 20</w:t>
      </w:r>
      <w:r w:rsidR="00612302" w:rsidRPr="00032E1B">
        <w:t>20</w:t>
      </w:r>
      <w:r w:rsidRPr="00032E1B">
        <w:t xml:space="preserve"> tot en met 31 december 20</w:t>
      </w:r>
      <w:r w:rsidR="00612302" w:rsidRPr="00032E1B">
        <w:t>21</w:t>
      </w:r>
      <w:r w:rsidRPr="00032E1B">
        <w:t>. De Europese Commissie stelt elke twee jaar bij verordening nieuwe drempelwaarden vast.</w:t>
      </w:r>
    </w:p>
    <w:p w14:paraId="3BAD8BF5" w14:textId="77777777" w:rsidR="00D40187" w:rsidRDefault="00D40187" w:rsidP="00D40187">
      <w:r w:rsidRPr="00032E1B">
        <w:t>Opdrachten boven de Europese drempelwaarden zijn vanaf 1 juli 2017 verplicht om de gehele aanbestedingsprocedure digitaal te laten verlopen.</w:t>
      </w:r>
    </w:p>
    <w:p w14:paraId="0BDF182A" w14:textId="77777777" w:rsidR="00D40187" w:rsidRDefault="00D40187" w:rsidP="00D40187">
      <w:r>
        <w:br w:type="page"/>
      </w:r>
    </w:p>
    <w:p w14:paraId="08AEB4CA" w14:textId="77777777" w:rsidR="00D40187" w:rsidRPr="00D40187" w:rsidRDefault="00D40187" w:rsidP="00D40187">
      <w:pPr>
        <w:rPr>
          <w:b/>
          <w:bCs/>
        </w:rPr>
      </w:pPr>
      <w:r w:rsidRPr="00D40187">
        <w:rPr>
          <w:b/>
          <w:bCs/>
        </w:rPr>
        <w:lastRenderedPageBreak/>
        <w:t>Waardebepaling van een opdracht</w:t>
      </w:r>
    </w:p>
    <w:p w14:paraId="315A5F55" w14:textId="77777777" w:rsidR="00D40187" w:rsidRDefault="00D40187" w:rsidP="00D40187">
      <w:r>
        <w:t>Om te kunnen bepalen welke marktbenaderingswijze moet worden gevolgd, dient de totale opdrachtwaarde (exclusief BTW) te worden vastgesteld conform de Aanbestedingswet 2012. Hierbij geldt dat de opdrachtwaarde wordt vastgesteld door alle gelijksoortige behoeften van alle organisatieonderdelen over de gehele contractperiode (inclusief opties tot verlenging) op te tellen. Het Dongemond college wordt dus gezien als één opdrachtgever. Indien de contractperiode onbekend, onbepaald of langer is dan 48 maanden, moeten de behoeften over 48 maanden worden opgeteld.</w:t>
      </w:r>
    </w:p>
    <w:p w14:paraId="73081153" w14:textId="77777777" w:rsidR="00D40187" w:rsidRDefault="00D40187" w:rsidP="00D40187">
      <w:r>
        <w:t>In geen geval mag een opdracht worden gesplitst, opgeknipt of op onjuiste wijze worden geraamd om een aanbestedingsprocedure te ontduiken. Bij twijfel kiest het Dongemond college ervoor om een opdracht boven (in plaats van onder) het drempelbedrag te laten vallen, om hiermee de objectiviteit, transparantie en non-discriminatie te waarborgen.</w:t>
      </w:r>
    </w:p>
    <w:p w14:paraId="178D8801" w14:textId="77777777" w:rsidR="00D40187" w:rsidRDefault="00D40187" w:rsidP="00D40187"/>
    <w:p w14:paraId="2BA742BD" w14:textId="77777777" w:rsidR="00D40187" w:rsidRPr="00D40187" w:rsidRDefault="00D40187" w:rsidP="00D40187">
      <w:pPr>
        <w:rPr>
          <w:b/>
          <w:bCs/>
        </w:rPr>
      </w:pPr>
      <w:r w:rsidRPr="00D40187">
        <w:rPr>
          <w:b/>
          <w:bCs/>
        </w:rPr>
        <w:t>Toepassing artikel 2 lid 19 Aanbestedingswet 2012 (percelenregeling)</w:t>
      </w:r>
    </w:p>
    <w:p w14:paraId="4AB8253A" w14:textId="77777777" w:rsidR="00D40187" w:rsidRDefault="00D40187" w:rsidP="00D40187">
      <w:r>
        <w:t xml:space="preserve">Wanneer sprake is van meerdere percelen, is het toegestaan één of meerdere percelen buiten de Europese aanbestedingsprocedure te houden. Het volume van deze gezamenlijke percelen mag echter nooit meer dan 20 % van de totale opdrachtwaarde betreffen. Per perceel geldt een maximum van € 80.000,- excl. BTW voor leveringen en diensten. Voor werken bedraagt het maximum </w:t>
      </w:r>
    </w:p>
    <w:p w14:paraId="1578F060" w14:textId="77777777" w:rsidR="00D40187" w:rsidRDefault="00D40187" w:rsidP="00D40187">
      <w:r>
        <w:t>€ 1.000.000,- excl. BTW. Voor de vaststelling van een Europese aanbestedingsplicht tellen deze percelen overigens gewoon mee. Dit buiten de procedure gehouden deel mag (meervoudig) onderhands gegund worden.</w:t>
      </w:r>
    </w:p>
    <w:p w14:paraId="5BAA3F3B" w14:textId="77777777" w:rsidR="00D40187" w:rsidRDefault="00D40187" w:rsidP="00D40187"/>
    <w:p w14:paraId="2D48A8A8" w14:textId="77777777" w:rsidR="00D40187" w:rsidRPr="00D40187" w:rsidRDefault="00D40187" w:rsidP="00D40187">
      <w:pPr>
        <w:rPr>
          <w:b/>
          <w:bCs/>
        </w:rPr>
      </w:pPr>
      <w:r w:rsidRPr="00D40187">
        <w:rPr>
          <w:b/>
          <w:bCs/>
        </w:rPr>
        <w:t>Afwijken van voorgeschreven marktbenaderingswijzen</w:t>
      </w:r>
    </w:p>
    <w:p w14:paraId="577AEFEC" w14:textId="77777777" w:rsidR="00D40187" w:rsidRDefault="00D40187" w:rsidP="00D40187">
      <w:r>
        <w:t>Boven de ondergrens bestaat de verplichting om meervoudig onderhands c.q. nationaal openbaar aan te besteden, tenzij het college van bestuur beslist dat er sterke argumenten zijn om een andere marktbenadering te kiezen. Dit kan bijvoorbeeld het geval zijn:</w:t>
      </w:r>
    </w:p>
    <w:p w14:paraId="22532819" w14:textId="77777777" w:rsidR="00D40187" w:rsidRDefault="00D40187" w:rsidP="00D40187">
      <w:pPr>
        <w:pStyle w:val="Lijstalinea"/>
        <w:numPr>
          <w:ilvl w:val="0"/>
          <w:numId w:val="19"/>
        </w:numPr>
      </w:pPr>
      <w:r>
        <w:t>Bij specialistische producten;</w:t>
      </w:r>
    </w:p>
    <w:p w14:paraId="6B36081E" w14:textId="77777777" w:rsidR="00D40187" w:rsidRDefault="00D40187" w:rsidP="00D40187">
      <w:pPr>
        <w:pStyle w:val="Lijstalinea"/>
        <w:numPr>
          <w:ilvl w:val="0"/>
          <w:numId w:val="19"/>
        </w:numPr>
      </w:pPr>
      <w:r>
        <w:t>Bij dwingende spoed als gevolg van onvoorziene omstandigheden die niet aan het Dongemond college zijn toe te rekenen;</w:t>
      </w:r>
    </w:p>
    <w:p w14:paraId="12E25A37" w14:textId="77777777" w:rsidR="00D40187" w:rsidRDefault="00D40187" w:rsidP="00D40187">
      <w:pPr>
        <w:pStyle w:val="Lijstalinea"/>
        <w:numPr>
          <w:ilvl w:val="0"/>
          <w:numId w:val="19"/>
        </w:numPr>
      </w:pPr>
      <w:r>
        <w:t>Bij een complex uitvoeringsproces;</w:t>
      </w:r>
    </w:p>
    <w:p w14:paraId="10ABB870" w14:textId="77777777" w:rsidR="00D40187" w:rsidRDefault="00D40187" w:rsidP="00D40187">
      <w:pPr>
        <w:pStyle w:val="Lijstalinea"/>
        <w:numPr>
          <w:ilvl w:val="0"/>
          <w:numId w:val="19"/>
        </w:numPr>
      </w:pPr>
      <w:r>
        <w:t>Bij verwevenheid met parallelle processen;</w:t>
      </w:r>
    </w:p>
    <w:p w14:paraId="26CF6CF7" w14:textId="77777777" w:rsidR="00D40187" w:rsidRDefault="00D40187" w:rsidP="00D40187">
      <w:pPr>
        <w:pStyle w:val="Lijstalinea"/>
        <w:numPr>
          <w:ilvl w:val="0"/>
          <w:numId w:val="19"/>
        </w:numPr>
      </w:pPr>
      <w:r>
        <w:t>Indien het gaat om opdrachten die om artistieke of technische redenen slechts aan een bepaalde ondernemer kunnen worden toevertrouwd;</w:t>
      </w:r>
    </w:p>
    <w:p w14:paraId="7E94161F" w14:textId="77777777" w:rsidR="00D40187" w:rsidRDefault="00D40187" w:rsidP="00D40187">
      <w:pPr>
        <w:pStyle w:val="Lijstalinea"/>
        <w:numPr>
          <w:ilvl w:val="0"/>
          <w:numId w:val="19"/>
        </w:numPr>
      </w:pPr>
      <w:r>
        <w:t>Bij vervolgopdrachten, indien de keuze van een andere ondernemer onaanvaardbaar hoge kosten of technische moeilijkheden met zich mee zou brengen;</w:t>
      </w:r>
    </w:p>
    <w:p w14:paraId="12218DAA" w14:textId="77777777" w:rsidR="00D40187" w:rsidRDefault="00D40187" w:rsidP="00D40187"/>
    <w:p w14:paraId="2C44638A" w14:textId="77777777" w:rsidR="00D40187" w:rsidRDefault="00D40187" w:rsidP="00D40187">
      <w:r>
        <w:t>De argumenten moeten op schrift worden gesteld alvorens het college van bestuur een besluit neemt. Deze motiveringsplicht is een belangrijke verplichting binnen de Aanbestedingswet 2012. Van de Europese aanbestedingsprocedure kan niet worden afgeweken.</w:t>
      </w:r>
    </w:p>
    <w:p w14:paraId="56AB6220" w14:textId="77777777" w:rsidR="00D40187" w:rsidRDefault="00D40187" w:rsidP="00D40187"/>
    <w:p w14:paraId="07E039EC" w14:textId="77777777" w:rsidR="00D40187" w:rsidRDefault="00D40187" w:rsidP="00D40187">
      <w:pPr>
        <w:pStyle w:val="Kop2"/>
      </w:pPr>
      <w:bookmarkStart w:id="13" w:name="_Toc36133461"/>
      <w:r>
        <w:lastRenderedPageBreak/>
        <w:t>Te hanteren selectie- en gunningscriteria</w:t>
      </w:r>
      <w:bookmarkEnd w:id="13"/>
    </w:p>
    <w:p w14:paraId="401AD379" w14:textId="75B8F9A8" w:rsidR="00D40187" w:rsidRDefault="00D40187" w:rsidP="00D40187">
      <w:r>
        <w:t>Selectiecriteria (beoordeling van de inschrijver) en gunningscriteria (beoordeling van de inschrijving) worden objectief en proportioneel opgesteld. Uitsluitingsgronden, geschiktheidseisen en selectiecriteria hebben betrekking op de kwalitatieve beoordeling van inschrijvers dan wel gegadigden. Gunningcriteria hebben betrekking op de beoordeling van de inschrijvingen.</w:t>
      </w:r>
      <w:r w:rsidR="001E07CF">
        <w:t xml:space="preserve"> Binnen de context van de Europese aanbestedingsrichtlijnen wordt</w:t>
      </w:r>
      <w:r w:rsidR="005061A4">
        <w:t>, voor zover zinvol en mogelijk,</w:t>
      </w:r>
      <w:r w:rsidR="001E07CF">
        <w:t xml:space="preserve"> het criterium ‘duurzaamheid’ in de uitvraag opgenomen.</w:t>
      </w:r>
    </w:p>
    <w:p w14:paraId="602FA066" w14:textId="77777777" w:rsidR="00D40187" w:rsidRDefault="00D40187" w:rsidP="00D40187"/>
    <w:p w14:paraId="1E2941EC" w14:textId="2A515988" w:rsidR="00D40187" w:rsidRPr="00D40187" w:rsidRDefault="00D40187" w:rsidP="00D40187">
      <w:pPr>
        <w:rPr>
          <w:b/>
          <w:bCs/>
        </w:rPr>
      </w:pPr>
      <w:bookmarkStart w:id="14" w:name="_Hlk57630278"/>
      <w:r w:rsidRPr="00D40187">
        <w:rPr>
          <w:b/>
          <w:bCs/>
        </w:rPr>
        <w:t>Selectiecriteria</w:t>
      </w:r>
    </w:p>
    <w:p w14:paraId="2FD2BE8C" w14:textId="0CCED8B1" w:rsidR="00D40187" w:rsidRDefault="00D40187" w:rsidP="00D40187">
      <w:r>
        <w:t xml:space="preserve">De selectiecriteria (uitsluitingsgronden en geschiktheidseisen) zijn alle maatschappelijke, technische, organisatorische en financieel-economische eisen waaraan een inschrijver moet voldoen om in aanmerking te komen voor de opdracht. </w:t>
      </w:r>
      <w:bookmarkEnd w:id="14"/>
      <w:r>
        <w:t>In de Aanbestedingswet 2012 staan de criteria vermeld die bij Europese aanbestedingsprocedures moeten en mogen worden toe</w:t>
      </w:r>
      <w:r w:rsidR="00827D81">
        <w:t>ge</w:t>
      </w:r>
      <w:r>
        <w:t>pas</w:t>
      </w:r>
      <w:r w:rsidR="00827D81">
        <w:t>t.</w:t>
      </w:r>
    </w:p>
    <w:p w14:paraId="42E4C319" w14:textId="77777777" w:rsidR="00D40187" w:rsidRDefault="00D40187" w:rsidP="00D40187"/>
    <w:p w14:paraId="5D1D5F6F" w14:textId="77777777" w:rsidR="00D40187" w:rsidRPr="00D40187" w:rsidRDefault="00D40187" w:rsidP="00D40187">
      <w:pPr>
        <w:rPr>
          <w:b/>
          <w:bCs/>
        </w:rPr>
      </w:pPr>
      <w:r w:rsidRPr="00D40187">
        <w:rPr>
          <w:b/>
          <w:bCs/>
        </w:rPr>
        <w:t>Gunningscriteria</w:t>
      </w:r>
    </w:p>
    <w:p w14:paraId="4AE31EDC" w14:textId="77777777" w:rsidR="00D40187" w:rsidRDefault="00D40187" w:rsidP="00D40187">
      <w:r>
        <w:t xml:space="preserve">Gunning kan plaatsvinden op basis van de laagste prijs of op basis van beste prijs-kwaliteitsverhouding, waarbij zowel kwaliteit als prijs een rol spelen. Afhankelijk van de aard en de complexiteit van het product wordt er vooraf een keuze gemaakt. </w:t>
      </w:r>
    </w:p>
    <w:p w14:paraId="0623A93B" w14:textId="77777777" w:rsidR="00D40187" w:rsidRDefault="00D40187" w:rsidP="00D40187"/>
    <w:p w14:paraId="211FDE9A" w14:textId="77777777" w:rsidR="00D40187" w:rsidRDefault="00D40187" w:rsidP="00D40187">
      <w:r>
        <w:lastRenderedPageBreak/>
        <w:t>Bij gunning tegen de laagste prijs is het beoordelen van de inschrijvingen relatief eenvoudig. Gecontroleerd wordt of ze voldoet aan de vooraf gestelde minimum- c.q. selectie-eisen, waarna de prijs de doorslag geeft.</w:t>
      </w:r>
    </w:p>
    <w:p w14:paraId="5EAB8D30" w14:textId="77777777" w:rsidR="00D40187" w:rsidRDefault="00D40187" w:rsidP="00D40187"/>
    <w:p w14:paraId="76546312" w14:textId="77777777" w:rsidR="00D40187" w:rsidRDefault="00D40187" w:rsidP="00D40187">
      <w:bookmarkStart w:id="15" w:name="_Hlk57630339"/>
      <w:r>
        <w:t>Bij gunning op basis van beste prijs-kwaliteitsverhouding</w:t>
      </w:r>
      <w:r w:rsidR="00307F76">
        <w:rPr>
          <w:rStyle w:val="Voetnootmarkering"/>
        </w:rPr>
        <w:footnoteReference w:id="7"/>
      </w:r>
      <w:r>
        <w:t xml:space="preserve">  worden naast de prijs, aanvullende (sub)criteria geformuleerd </w:t>
      </w:r>
      <w:bookmarkEnd w:id="15"/>
      <w:r>
        <w:t xml:space="preserve">zoals functionaliteit, kwaliteit, garanties, levertijd toegankelijkheid, esthetische en functionele kenmerken, geschiktheid van het onderwerp, sociale, milieu- en innovatieve kenmerken, klantenservice en technische bijstand. </w:t>
      </w:r>
      <w:bookmarkStart w:id="16" w:name="_Hlk57631278"/>
      <w:r>
        <w:t>Belangrijke voorwaarde voor het hanteren van dit criterium is een eenduidige beoordelingssystematiek met vermelding van het relatieve gewicht van de gekozen nadere (sub)criteria.</w:t>
      </w:r>
    </w:p>
    <w:bookmarkEnd w:id="16"/>
    <w:p w14:paraId="1E699450" w14:textId="77777777" w:rsidR="00D40187" w:rsidRDefault="00D40187" w:rsidP="00D40187"/>
    <w:p w14:paraId="536B94C2" w14:textId="77777777" w:rsidR="00D40187" w:rsidRDefault="00D40187" w:rsidP="00D40187">
      <w:r>
        <w:t>De wijze waarop inschrijvingen worden beoordeeld wordt beschreven in de aanbestedingsdocumenten conform de richtlijnen die de Aanbestedingswet 2012 hiervoor geeft.</w:t>
      </w:r>
    </w:p>
    <w:p w14:paraId="6136AC31" w14:textId="77777777" w:rsidR="00D40187" w:rsidRDefault="00D40187" w:rsidP="00D40187"/>
    <w:p w14:paraId="0978CC37" w14:textId="77777777" w:rsidR="00D40187" w:rsidRDefault="00D40187" w:rsidP="00D40187">
      <w:pPr>
        <w:pStyle w:val="Kop2"/>
      </w:pPr>
      <w:bookmarkStart w:id="17" w:name="_Toc36133462"/>
      <w:r>
        <w:t>Lokaal en regionaal leveranciersbeleid</w:t>
      </w:r>
      <w:bookmarkEnd w:id="17"/>
    </w:p>
    <w:p w14:paraId="7A3F097B" w14:textId="77777777" w:rsidR="00D40187" w:rsidRDefault="00D40187" w:rsidP="00D40187">
      <w:r>
        <w:t xml:space="preserve">Het Dongemond college wil in het algemeen de regionale economie stimuleren maar bevoordeling van de lokale en regionale bedrijven staat op gespannen voet met de beginselen van objectiviteit, transparantie en non-discriminatie die ten grondslag liggen aan de Europese Richtlijnen. Het Dongemond college wil zowel recht doen aan het streven naar een zo breed mogelijke concurrentie als aan het belang van het regionale bedrijfsleven. Afhankelijk </w:t>
      </w:r>
      <w:r>
        <w:lastRenderedPageBreak/>
        <w:t xml:space="preserve">van de situatie zal worden bekeken op welke wijze en in welke mate regionale leveranciers, bij gelijke geschiktheid, in de gelegenheid gesteld worden (een deel van) een te vergeven opdracht te verwerven. Hierbij wordt nadrukkelijk gesteld dat het gunnen aan de lokale leveranciersmarkt geen doel op zich vormt. De keuze hiervoor mag een aanbestedingsprocedure niet onnodig gecompliceerd, kostbaar of slecht beheersbaar maken. </w:t>
      </w:r>
    </w:p>
    <w:p w14:paraId="5F5BBA07" w14:textId="77777777" w:rsidR="00D40187" w:rsidRDefault="00D40187" w:rsidP="00D40187"/>
    <w:p w14:paraId="5CFC929B" w14:textId="77777777" w:rsidR="00D40187" w:rsidRDefault="00D40187" w:rsidP="00D40187">
      <w:r>
        <w:t xml:space="preserve">Vier mogelijkheden om lokale leveranciers tegemoet te komen zijn: </w:t>
      </w:r>
    </w:p>
    <w:p w14:paraId="60912C02" w14:textId="77777777" w:rsidR="00D40187" w:rsidRDefault="00D40187" w:rsidP="00D40187"/>
    <w:p w14:paraId="3C52318D" w14:textId="77777777" w:rsidR="00D40187" w:rsidRDefault="00D40187" w:rsidP="00D40187">
      <w:pPr>
        <w:pStyle w:val="Kop4"/>
      </w:pPr>
      <w:r>
        <w:t xml:space="preserve">Vormen van kleinere / meerdere percelen </w:t>
      </w:r>
    </w:p>
    <w:p w14:paraId="3843CC7C" w14:textId="77777777" w:rsidR="00D40187" w:rsidRDefault="00D40187" w:rsidP="00D40187">
      <w:r>
        <w:t>Het is mogelijk binnen een Europese aanbesteding meerdere (en dus kleinere) percelen op te nemen. Gunning vindt plaatst per perceel, waarbij dus meerdere marktpartijen als winnaar uit de bus kunnen komen. Nadelen zijn er ook: bewerkelijker bij het opstellen van het aanbestedingsdocument en beoordeling-/gunningprocedure, mogelijk hogere prijzen als gevolg van kleiner (deel)volume, (contract)beheer na gunning vraagt meer aandacht/tijd. Het Dongemond college wil dan ook spaarzaam omgaan met het toepassen van deze optie. De percelen dienen een logische opdeling te vertonen, bijvoorbeeld geografisch of qua functionele specificatie.</w:t>
      </w:r>
      <w:r>
        <w:br/>
      </w:r>
    </w:p>
    <w:p w14:paraId="1C0877DB" w14:textId="77777777" w:rsidR="00D40187" w:rsidRDefault="00D40187" w:rsidP="00D40187">
      <w:pPr>
        <w:pStyle w:val="Kop4"/>
      </w:pPr>
      <w:r>
        <w:t xml:space="preserve">Gedeelte buiten de aanbestedingsprocedure houden (percelenregeling) </w:t>
      </w:r>
    </w:p>
    <w:p w14:paraId="0BEAD8FD" w14:textId="05DB05AD" w:rsidR="00D40187" w:rsidRDefault="00D40187" w:rsidP="00D40187">
      <w:r w:rsidRPr="00DC64B0">
        <w:t xml:space="preserve">Zie </w:t>
      </w:r>
      <w:r w:rsidR="00DE7090" w:rsidRPr="00DC64B0">
        <w:t xml:space="preserve">bladzijde </w:t>
      </w:r>
      <w:r w:rsidR="00DC64B0" w:rsidRPr="00DC64B0">
        <w:t>8</w:t>
      </w:r>
      <w:r w:rsidR="00DE7090" w:rsidRPr="00DC64B0">
        <w:t xml:space="preserve"> hiervoor onder percelenregeling.</w:t>
      </w:r>
    </w:p>
    <w:p w14:paraId="3CFCB3B6" w14:textId="77777777" w:rsidR="00DE7090" w:rsidRDefault="00DE7090">
      <w:pPr>
        <w:spacing w:after="160"/>
      </w:pPr>
      <w:r>
        <w:br w:type="page"/>
      </w:r>
    </w:p>
    <w:p w14:paraId="4B931FE0" w14:textId="3BEB738C" w:rsidR="00D40187" w:rsidRDefault="00D40187" w:rsidP="00DE7090">
      <w:pPr>
        <w:pStyle w:val="Kop4"/>
      </w:pPr>
      <w:r>
        <w:lastRenderedPageBreak/>
        <w:t xml:space="preserve">Toestaan van combinatievorming/onderaanneming </w:t>
      </w:r>
    </w:p>
    <w:p w14:paraId="663AB687" w14:textId="77777777" w:rsidR="00D40187" w:rsidRDefault="00D40187" w:rsidP="00D40187">
      <w:r>
        <w:t xml:space="preserve">Een andere mogelijkheid is het toestaan van combinatievorming en/of onderaanneming tijdens een aanbestedingsprocedure. Op deze wijze kunnen kleinere ondernemingen elkaar opzoeken en op die wijze alsnog groot genoeg zijn de opdracht naar behoren uit te voeren. </w:t>
      </w:r>
    </w:p>
    <w:p w14:paraId="7579574B" w14:textId="77777777" w:rsidR="00D40187" w:rsidRDefault="00D40187" w:rsidP="00D40187"/>
    <w:p w14:paraId="4B16DAEC" w14:textId="77777777" w:rsidR="00D40187" w:rsidRDefault="00D40187" w:rsidP="00D40187">
      <w:pPr>
        <w:pStyle w:val="Kop4"/>
      </w:pPr>
      <w:r>
        <w:t xml:space="preserve">Bij meervoudig onderhandse procedure ook een lokale leverancier uitnodigen </w:t>
      </w:r>
    </w:p>
    <w:p w14:paraId="46D9612E" w14:textId="77777777" w:rsidR="00D40187" w:rsidRDefault="00D40187" w:rsidP="00D40187">
      <w:r>
        <w:t>Bij de meervoudig onderhandse procedure worden meerdere marktpartijen uitgenodigd offerte uit te brengen. Hierbij laten we de mogelijkheid ook één lokale marktpartij uit te nodigen. Dit is echter geen garantie dat deze partij de opdracht ook gegund krijgt. Beoordeling van offertes dient immers op een objectieve, transparante en niet-discriminerende wijze te gebeuren.</w:t>
      </w:r>
    </w:p>
    <w:p w14:paraId="1C720C90" w14:textId="77777777" w:rsidR="00D40187" w:rsidRDefault="00D40187" w:rsidP="00D40187">
      <w:r>
        <w:t xml:space="preserve"> </w:t>
      </w:r>
    </w:p>
    <w:p w14:paraId="5E58A489" w14:textId="77777777" w:rsidR="00D40187" w:rsidRDefault="00D40187" w:rsidP="004A7477">
      <w:pPr>
        <w:pStyle w:val="Kop1"/>
      </w:pPr>
      <w:bookmarkStart w:id="18" w:name="_Toc36133463"/>
      <w:r>
        <w:t>Organisatorische uitgangspunten</w:t>
      </w:r>
      <w:bookmarkEnd w:id="18"/>
    </w:p>
    <w:p w14:paraId="09AD0CC4" w14:textId="77777777" w:rsidR="00D40187" w:rsidRDefault="00D40187" w:rsidP="004A7477">
      <w:pPr>
        <w:pStyle w:val="Kop2"/>
      </w:pPr>
      <w:bookmarkStart w:id="19" w:name="_Toc36133464"/>
      <w:r>
        <w:t>Inkooporganisatie en samenwerking</w:t>
      </w:r>
      <w:bookmarkEnd w:id="19"/>
    </w:p>
    <w:p w14:paraId="4ECF6B62" w14:textId="77777777" w:rsidR="00D40187" w:rsidRDefault="00D40187" w:rsidP="00D40187">
      <w:r>
        <w:t xml:space="preserve">Binnen het Dongemond college is het standpunt ten aanzien van het inkopen van producten en diensten ‘centraal tenzij’. Dit tenzij slaat op: tenzij er sprake is van inefficiëntie of ineffectiviteit door het volume te bundelen. Het inkopen betreft vooral facilitaire-, HRM- en ICT voorzieningen, zoals </w:t>
      </w:r>
    </w:p>
    <w:p w14:paraId="06576094" w14:textId="77777777" w:rsidR="00D40187" w:rsidRDefault="00D40187" w:rsidP="00D40187">
      <w:r>
        <w:t>schoonmaakdienstverlening, ICT-hardware, lesmateriaal, (multifunctionele) afdrukapparatuur, schoolmeubilair, kantoorartikelen, maar ook het inhuren van adviesdiensten, het uitvoeren van technisch onderhoud en het bouwen van een school.</w:t>
      </w:r>
    </w:p>
    <w:p w14:paraId="6120B64D" w14:textId="77777777" w:rsidR="00D40187" w:rsidRDefault="00D40187" w:rsidP="00D40187">
      <w:r>
        <w:lastRenderedPageBreak/>
        <w:t>Het Dongemond college vormt in organisatorisch opzicht één aanbestedende dienst. Indien het voordelen biedt, wordt aangesloten bij initiatieven van andere VO-organisaties of kan inkoopkracht met andere VO-organisaties gebundeld worden.</w:t>
      </w:r>
    </w:p>
    <w:p w14:paraId="3EFE8C14" w14:textId="77777777" w:rsidR="004A7477" w:rsidRDefault="004A7477" w:rsidP="00D40187"/>
    <w:p w14:paraId="4650A884" w14:textId="77777777" w:rsidR="00D40187" w:rsidRDefault="00D40187" w:rsidP="004A7477">
      <w:pPr>
        <w:pStyle w:val="Kop2"/>
      </w:pPr>
      <w:bookmarkStart w:id="20" w:name="_Toc36133465"/>
      <w:r>
        <w:t>Inkoopmodel</w:t>
      </w:r>
      <w:bookmarkEnd w:id="20"/>
    </w:p>
    <w:p w14:paraId="1F5DB436" w14:textId="77777777" w:rsidR="00D40187" w:rsidRDefault="00D40187" w:rsidP="00D40187">
      <w:r>
        <w:t xml:space="preserve">Naast de vaststelling van het inkoop- en aanbestedingsbeleid zal de inkoopfunctie en de inkooporganisatie verder vorm gegeven worden. Voor wat betreft de organisatorische invulling zijn er drie basismodellen te onderscheiden: </w:t>
      </w:r>
    </w:p>
    <w:p w14:paraId="68D73071" w14:textId="77777777" w:rsidR="00D40187" w:rsidRDefault="00D40187" w:rsidP="00D40187">
      <w:r>
        <w:t xml:space="preserve">1. het centraal georganiseerde inkoopmodel: Bij een centraal georganiseerde inkoopfunctie is alle expertise op het gebied van inkopen gebundeld in een specifiek op inkoop gerichte afdeling of bureau. In veel gevallen moeten individuele scholen, afdelingen of diensten verplicht hun inkopen via het centrale bureau inkoop verwerven; </w:t>
      </w:r>
    </w:p>
    <w:p w14:paraId="226A3B11" w14:textId="77777777" w:rsidR="00D40187" w:rsidRDefault="00D40187" w:rsidP="00D40187">
      <w:r>
        <w:t xml:space="preserve">2. het decentraal georganiseerde inkoopmodel: Hierbij is de verantwoordelijkheid voor de inkoop decentraal geregeld waarbij geen sprake is van centrale sturing of coördinatie; </w:t>
      </w:r>
    </w:p>
    <w:p w14:paraId="6068B0BF" w14:textId="77777777" w:rsidR="00D40187" w:rsidRDefault="00D40187" w:rsidP="00D40187">
      <w:r>
        <w:t xml:space="preserve">3. het gecoördineerde inkoopmodel: Kenmerkend voor het gecoördineerde inkoopmodel is dat de verantwoordelijkheid voor de inkoop decentraal in de organisatie ligt (budgethouder), terwijl verplicht gebruik gemaakt wordt van de centraal afgesloten contracten dan wel van de aanwezige inkoopinformatie en -kennis. </w:t>
      </w:r>
    </w:p>
    <w:p w14:paraId="2B518AB8" w14:textId="77777777" w:rsidR="00D40187" w:rsidRDefault="00D40187" w:rsidP="00D40187"/>
    <w:p w14:paraId="72438DEE" w14:textId="77777777" w:rsidR="00D40187" w:rsidRDefault="00D40187" w:rsidP="00D40187">
      <w:r>
        <w:t xml:space="preserve">Binnen het Dongemond college wordt gewerkt volgens het gecoördineerde inkoopmodel. Dit gecoördineerde inkoopmodel tracht zoveel mogelijk de voordelen van de beide andere inkoopmodellen te combineren. </w:t>
      </w:r>
    </w:p>
    <w:p w14:paraId="24A8E28B" w14:textId="77777777" w:rsidR="004A7477" w:rsidRDefault="004A7477" w:rsidP="00D40187"/>
    <w:p w14:paraId="7E07A45E" w14:textId="77777777" w:rsidR="00D40187" w:rsidRDefault="00D40187" w:rsidP="004A7477">
      <w:pPr>
        <w:pStyle w:val="Kop2"/>
      </w:pPr>
      <w:bookmarkStart w:id="21" w:name="_Toc36133466"/>
      <w:r>
        <w:t>Inkoopproces</w:t>
      </w:r>
      <w:bookmarkEnd w:id="21"/>
    </w:p>
    <w:p w14:paraId="06399AFF" w14:textId="77777777" w:rsidR="00D40187" w:rsidRDefault="00D40187" w:rsidP="00D40187">
      <w:r>
        <w:t>Op grond van de keuze voor het gecoördineerde inkoopmodel ligt het initiatief voor aanschaf van materialen, goederen of diensten laag in de Dongemond organisatie. In principe kan iedere medewerker van het Dongemond college het initiatief nemen om tot aanschaf over te gaan mits hiervoor vooraf toestemming is gekregen van de budgethouder.</w:t>
      </w:r>
    </w:p>
    <w:p w14:paraId="6AFBCB07" w14:textId="77777777" w:rsidR="00AA3AE6" w:rsidRDefault="00AA3AE6">
      <w:pPr>
        <w:spacing w:after="160"/>
      </w:pPr>
      <w:r>
        <w:br w:type="page"/>
      </w:r>
    </w:p>
    <w:p w14:paraId="5B0279B8" w14:textId="77777777" w:rsidR="00D40187" w:rsidRDefault="00D40187" w:rsidP="004A7477">
      <w:pPr>
        <w:pStyle w:val="Kop4"/>
      </w:pPr>
      <w:r>
        <w:lastRenderedPageBreak/>
        <w:t>Budgethouders</w:t>
      </w:r>
    </w:p>
    <w:p w14:paraId="090481AE" w14:textId="77777777" w:rsidR="00D40187" w:rsidRDefault="00D40187" w:rsidP="00D40187">
      <w:r>
        <w:t>Het Dongemond college kent de volgende budgethouders:</w:t>
      </w:r>
    </w:p>
    <w:p w14:paraId="0CEFB107" w14:textId="77777777" w:rsidR="00D40187" w:rsidRDefault="00D40187" w:rsidP="00D40187"/>
    <w:p w14:paraId="62671196" w14:textId="77777777" w:rsidR="00D40187" w:rsidRDefault="004A7477" w:rsidP="004A7477">
      <w:pPr>
        <w:pStyle w:val="Lijstalinea"/>
        <w:numPr>
          <w:ilvl w:val="0"/>
          <w:numId w:val="20"/>
        </w:numPr>
      </w:pPr>
      <w:r>
        <w:t>R</w:t>
      </w:r>
      <w:r w:rsidR="00D40187">
        <w:t xml:space="preserve">aad van </w:t>
      </w:r>
      <w:r>
        <w:t>T</w:t>
      </w:r>
      <w:r w:rsidR="00D40187">
        <w:t>oezicht</w:t>
      </w:r>
    </w:p>
    <w:p w14:paraId="271AA29A" w14:textId="77777777" w:rsidR="00D40187" w:rsidRDefault="004A7477" w:rsidP="004A7477">
      <w:pPr>
        <w:pStyle w:val="Lijstalinea"/>
        <w:numPr>
          <w:ilvl w:val="0"/>
          <w:numId w:val="20"/>
        </w:numPr>
      </w:pPr>
      <w:r>
        <w:t>C</w:t>
      </w:r>
      <w:r w:rsidR="00D40187">
        <w:t xml:space="preserve">ollege van </w:t>
      </w:r>
      <w:r>
        <w:t>B</w:t>
      </w:r>
      <w:r w:rsidR="00D40187">
        <w:t>estuur</w:t>
      </w:r>
    </w:p>
    <w:p w14:paraId="43DCB221" w14:textId="77777777" w:rsidR="00D40187" w:rsidRDefault="004A7477" w:rsidP="004A7477">
      <w:pPr>
        <w:pStyle w:val="Lijstalinea"/>
        <w:numPr>
          <w:ilvl w:val="0"/>
          <w:numId w:val="20"/>
        </w:numPr>
      </w:pPr>
      <w:r>
        <w:t>D</w:t>
      </w:r>
      <w:r w:rsidR="00D40187">
        <w:t>irecteuren</w:t>
      </w:r>
    </w:p>
    <w:p w14:paraId="04AA8112" w14:textId="77777777" w:rsidR="00D40187" w:rsidRDefault="004A7477" w:rsidP="004A7477">
      <w:pPr>
        <w:pStyle w:val="Lijstalinea"/>
        <w:numPr>
          <w:ilvl w:val="0"/>
          <w:numId w:val="20"/>
        </w:numPr>
      </w:pPr>
      <w:r>
        <w:t>H</w:t>
      </w:r>
      <w:r w:rsidR="00D40187">
        <w:t>oofden van dienst</w:t>
      </w:r>
    </w:p>
    <w:p w14:paraId="1C26444B" w14:textId="77777777" w:rsidR="00D40187" w:rsidRDefault="004A7477" w:rsidP="004A7477">
      <w:pPr>
        <w:pStyle w:val="Lijstalinea"/>
        <w:numPr>
          <w:ilvl w:val="0"/>
          <w:numId w:val="20"/>
        </w:numPr>
      </w:pPr>
      <w:r>
        <w:t>M</w:t>
      </w:r>
      <w:r w:rsidR="00D40187">
        <w:t>edezeggenschapsraad</w:t>
      </w:r>
    </w:p>
    <w:p w14:paraId="03169FEE" w14:textId="77777777" w:rsidR="004A7477" w:rsidRDefault="004A7477" w:rsidP="00D40187"/>
    <w:p w14:paraId="16022729" w14:textId="77777777" w:rsidR="00D40187" w:rsidRDefault="00D40187" w:rsidP="00D40187">
      <w:r>
        <w:t>Na vaststelling en goedkeuring van de meerjarenbegroting kent het college van bestuur budgetrecht toe aan de budgethouders. Het college van bestuur, de directeuren en hoofden kunnen functionarissen uit hoofde van hun werk budgetrecht toekennen.</w:t>
      </w:r>
    </w:p>
    <w:p w14:paraId="6BA4FE20" w14:textId="77777777" w:rsidR="004A7477" w:rsidRDefault="004A7477" w:rsidP="00D40187"/>
    <w:p w14:paraId="33B6053E" w14:textId="77777777" w:rsidR="00D40187" w:rsidRDefault="00D40187" w:rsidP="004A7477">
      <w:pPr>
        <w:pStyle w:val="Kop4"/>
      </w:pPr>
      <w:r>
        <w:t>Contracten</w:t>
      </w:r>
    </w:p>
    <w:p w14:paraId="68F3D97D" w14:textId="77777777" w:rsidR="00D40187" w:rsidRDefault="00D40187" w:rsidP="00D40187">
      <w:r>
        <w:t>Leveringen, werken of diensten die gezien hun omvang Europees moeten worden aanbesteed, worden binnen het Dongemond college centraal aanbesteed. Meervoudige onderhandse aanbesteding en/of enkelvoudig onderhandse gunning kan binnen alle geledingen van het Dongemond college plaats vinden.</w:t>
      </w:r>
    </w:p>
    <w:p w14:paraId="6DEB7290" w14:textId="77777777" w:rsidR="00D40187" w:rsidRDefault="00D40187" w:rsidP="00D40187"/>
    <w:p w14:paraId="7C96FC90" w14:textId="77777777" w:rsidR="00D40187" w:rsidRDefault="00D40187" w:rsidP="00D40187">
      <w:r>
        <w:t>Op het gebied van huisvesting worden de volgende uitgaven onderscheiden:</w:t>
      </w:r>
    </w:p>
    <w:p w14:paraId="47642310" w14:textId="77777777" w:rsidR="00D40187" w:rsidRDefault="00D40187" w:rsidP="004A7477">
      <w:pPr>
        <w:pStyle w:val="Lijstalinea"/>
        <w:numPr>
          <w:ilvl w:val="0"/>
          <w:numId w:val="21"/>
        </w:numPr>
      </w:pPr>
      <w:r>
        <w:t>Exploitatie-uitgaven</w:t>
      </w:r>
    </w:p>
    <w:p w14:paraId="67A1F54D" w14:textId="77777777" w:rsidR="00D40187" w:rsidRDefault="00D40187" w:rsidP="004A7477">
      <w:pPr>
        <w:pStyle w:val="Lijstalinea"/>
        <w:numPr>
          <w:ilvl w:val="0"/>
          <w:numId w:val="21"/>
        </w:numPr>
      </w:pPr>
      <w:r>
        <w:t>Uitgaven in het kader van het meerjarig onderhoudsplan (MOP)</w:t>
      </w:r>
    </w:p>
    <w:p w14:paraId="4B4C78AB" w14:textId="77777777" w:rsidR="00D40187" w:rsidRDefault="00D40187" w:rsidP="004A7477">
      <w:pPr>
        <w:pStyle w:val="Lijstalinea"/>
        <w:numPr>
          <w:ilvl w:val="0"/>
          <w:numId w:val="21"/>
        </w:numPr>
      </w:pPr>
      <w:r>
        <w:lastRenderedPageBreak/>
        <w:t>Investeringsuitgaven</w:t>
      </w:r>
    </w:p>
    <w:p w14:paraId="4FBE0EF6" w14:textId="77777777" w:rsidR="004A7477" w:rsidRDefault="004A7477" w:rsidP="00D40187"/>
    <w:p w14:paraId="4950E136" w14:textId="4DBF38E2" w:rsidR="00D40187" w:rsidRPr="00032E1B" w:rsidRDefault="00D40187" w:rsidP="00D40187">
      <w:r w:rsidRPr="00032E1B">
        <w:t xml:space="preserve">De directeur met huisvesting in zijn portefeuille en het hoofd bedrijfsvoering trekken gezamenlijk op als het gaat om de jaarlijkse vaststelling van de omvang van de voorziening groot onderhoud en </w:t>
      </w:r>
      <w:r w:rsidR="000C78A8" w:rsidRPr="00032E1B">
        <w:t>voor de vaststelling of</w:t>
      </w:r>
      <w:r w:rsidRPr="00032E1B">
        <w:t xml:space="preserve"> er sprake is van </w:t>
      </w:r>
      <w:r w:rsidR="000C78A8" w:rsidRPr="00032E1B">
        <w:t>(</w:t>
      </w:r>
      <w:r w:rsidRPr="00032E1B">
        <w:t>Europese</w:t>
      </w:r>
      <w:r w:rsidR="000C78A8" w:rsidRPr="00032E1B">
        <w:t>)</w:t>
      </w:r>
      <w:r w:rsidRPr="00032E1B">
        <w:t xml:space="preserve"> aanbesteding</w:t>
      </w:r>
      <w:r w:rsidR="000C78A8" w:rsidRPr="00032E1B">
        <w:t>splicht</w:t>
      </w:r>
      <w:r w:rsidRPr="00032E1B">
        <w:t xml:space="preserve">. </w:t>
      </w:r>
    </w:p>
    <w:p w14:paraId="3EDCB965" w14:textId="77777777" w:rsidR="00E123F5" w:rsidRPr="00032E1B" w:rsidRDefault="00E123F5" w:rsidP="00D40187"/>
    <w:p w14:paraId="34C13D4C" w14:textId="65973BFE" w:rsidR="00D40187" w:rsidRDefault="00D40187" w:rsidP="00D40187">
      <w:r w:rsidRPr="00032E1B">
        <w:t xml:space="preserve">Alle </w:t>
      </w:r>
      <w:r w:rsidR="00E123F5" w:rsidRPr="00032E1B">
        <w:t xml:space="preserve">documenten van de aanbestedingsprocedure worden </w:t>
      </w:r>
      <w:r w:rsidR="000C78A8" w:rsidRPr="00032E1B">
        <w:t xml:space="preserve">door de aanbesteders </w:t>
      </w:r>
      <w:r w:rsidR="00E123F5" w:rsidRPr="00032E1B">
        <w:t>gedocumenteerd opdat de genomen beslissingen in alle stadia van de procedure kan worden gemotiveerd</w:t>
      </w:r>
      <w:r w:rsidR="000D358F" w:rsidRPr="00032E1B">
        <w:rPr>
          <w:rStyle w:val="Voetnootmarkering"/>
        </w:rPr>
        <w:footnoteReference w:id="8"/>
      </w:r>
      <w:r w:rsidR="00E123F5" w:rsidRPr="00032E1B">
        <w:t>.</w:t>
      </w:r>
      <w:r w:rsidRPr="00032E1B">
        <w:t xml:space="preserve"> </w:t>
      </w:r>
      <w:r w:rsidR="00E123F5" w:rsidRPr="00032E1B">
        <w:t>Alle aanbestedings</w:t>
      </w:r>
      <w:r w:rsidR="000D358F" w:rsidRPr="00032E1B">
        <w:t xml:space="preserve">stukken worden, logisch gedocumenteerd, </w:t>
      </w:r>
      <w:r w:rsidR="00E123F5" w:rsidRPr="00032E1B">
        <w:t>inclusief het gesloten contract</w:t>
      </w:r>
      <w:r w:rsidRPr="00032E1B">
        <w:t xml:space="preserve"> naar de afdeling financiën gestuurd. </w:t>
      </w:r>
      <w:r w:rsidR="000C78A8" w:rsidRPr="00032E1B">
        <w:t>De aanbestedingen worden op basis van de verzamelde stukken</w:t>
      </w:r>
      <w:r w:rsidRPr="00032E1B">
        <w:t xml:space="preserve"> door de accountant </w:t>
      </w:r>
      <w:r w:rsidR="000C78A8" w:rsidRPr="00032E1B">
        <w:t>tijdens</w:t>
      </w:r>
      <w:r w:rsidRPr="00032E1B">
        <w:t xml:space="preserve"> de interim- en/of jaarrekeningcontrole</w:t>
      </w:r>
      <w:r w:rsidR="000C78A8" w:rsidRPr="00032E1B">
        <w:t xml:space="preserve"> getoetst</w:t>
      </w:r>
      <w:r w:rsidRPr="00032E1B">
        <w:t>.</w:t>
      </w:r>
      <w:r>
        <w:t xml:space="preserve"> </w:t>
      </w:r>
    </w:p>
    <w:p w14:paraId="74594BC5" w14:textId="77777777" w:rsidR="004A7477" w:rsidRDefault="004A7477" w:rsidP="00D40187"/>
    <w:p w14:paraId="20BCC97E" w14:textId="77777777" w:rsidR="00D40187" w:rsidRDefault="00D40187" w:rsidP="004A7477">
      <w:pPr>
        <w:pStyle w:val="Kop4"/>
      </w:pPr>
      <w:r>
        <w:t>Betaling derden</w:t>
      </w:r>
    </w:p>
    <w:p w14:paraId="058AA33F" w14:textId="77777777" w:rsidR="00D40187" w:rsidRDefault="00D40187" w:rsidP="00D40187">
      <w:r>
        <w:t>Bij het gecoördineerde inkoopmodel, waar het initiatief tot aanschaf van leveringen, werken en diensten laag in de organisatie voorkomt, moet de betalingsmogelijkheden van de organisatie en toetsing op rechtmatigheid van de uitgaven door de budgethouders primair en de accountant secundair helder zijn.</w:t>
      </w:r>
    </w:p>
    <w:p w14:paraId="32A54B67" w14:textId="77777777" w:rsidR="00D40187" w:rsidRDefault="00D40187" w:rsidP="00D40187"/>
    <w:p w14:paraId="0A4A8C02" w14:textId="7CD48578" w:rsidR="00D40187" w:rsidRDefault="00D40187" w:rsidP="00D40187">
      <w:r>
        <w:lastRenderedPageBreak/>
        <w:t xml:space="preserve">Betaling aan derden vindt plaats op grond van facturen via de zakelijke bankrekening. Dit betekent dat de initiator van een vooraf goedgekeurde bestelling aan de </w:t>
      </w:r>
      <w:r w:rsidR="000C78A8">
        <w:t>potentiële</w:t>
      </w:r>
      <w:r>
        <w:t xml:space="preserve"> leverancier vraagt om een factuur om de bestelling/order te betalen. </w:t>
      </w:r>
    </w:p>
    <w:p w14:paraId="68E9D72E" w14:textId="77777777" w:rsidR="00D40187" w:rsidRDefault="00D40187" w:rsidP="00D40187">
      <w:r>
        <w:t>Daarnaast kunnen personeelsleden achteraf voorgeschoten uitgaven declareren. Deze declaraties worden als facturen gezien en als zodanig verder behandeld.</w:t>
      </w:r>
    </w:p>
    <w:p w14:paraId="6DF0F13A" w14:textId="77777777" w:rsidR="00D40187" w:rsidRDefault="00D40187" w:rsidP="00D40187"/>
    <w:p w14:paraId="4F631F07" w14:textId="77777777" w:rsidR="00D40187" w:rsidRDefault="00D40187" w:rsidP="00D40187">
      <w:r>
        <w:t>Facturen moeten op naam gesteld zijn van het Dongemond college. De volledige adressering die gebruikt moet worden, luidt:</w:t>
      </w:r>
    </w:p>
    <w:p w14:paraId="28AA2B2F" w14:textId="77777777" w:rsidR="00D40187" w:rsidRDefault="00D40187" w:rsidP="00D40187"/>
    <w:p w14:paraId="2347632C" w14:textId="77777777" w:rsidR="00D40187" w:rsidRDefault="00D40187" w:rsidP="00D40187">
      <w:r>
        <w:t>Dongemond college</w:t>
      </w:r>
    </w:p>
    <w:p w14:paraId="04B45233" w14:textId="77777777" w:rsidR="00D40187" w:rsidRDefault="004A7477" w:rsidP="00D40187">
      <w:r>
        <w:t>T</w:t>
      </w:r>
      <w:r w:rsidR="00D40187">
        <w:t>.a.v. de crediteurenadministratie</w:t>
      </w:r>
    </w:p>
    <w:p w14:paraId="14C21F62" w14:textId="77777777" w:rsidR="00D40187" w:rsidRDefault="00D40187" w:rsidP="00D40187">
      <w:r>
        <w:t>Postbus 124</w:t>
      </w:r>
    </w:p>
    <w:p w14:paraId="763AB68F" w14:textId="77777777" w:rsidR="00D40187" w:rsidRDefault="00D40187" w:rsidP="00D40187">
      <w:r>
        <w:t>4940 AC RAAMSDONKSVEER</w:t>
      </w:r>
    </w:p>
    <w:p w14:paraId="457A827C" w14:textId="77777777" w:rsidR="00D40187" w:rsidRDefault="00D40187" w:rsidP="00D40187"/>
    <w:p w14:paraId="07ECB6AD" w14:textId="77777777" w:rsidR="00D40187" w:rsidRDefault="00D40187" w:rsidP="00D40187">
      <w:r>
        <w:t>In af te sluiten contracten met leveranciers dient deze adressering te worden opgenomen.</w:t>
      </w:r>
    </w:p>
    <w:p w14:paraId="1F28C658" w14:textId="77777777" w:rsidR="00D40187" w:rsidRDefault="00D40187" w:rsidP="00D40187"/>
    <w:p w14:paraId="7A4DD9FC" w14:textId="77777777" w:rsidR="00D40187" w:rsidRDefault="00D40187" w:rsidP="00D40187">
      <w:r>
        <w:t xml:space="preserve">Bij het plaatsen van een bestelling kan de initiator de leverancier uiteraard verzoeken om naast deze tenaamstelling zijn/haar naam als referentie te laten vermelden. Afwijkend van het factuuradres kan </w:t>
      </w:r>
      <w:r w:rsidRPr="000115EC">
        <w:t xml:space="preserve">een zakelijk </w:t>
      </w:r>
      <w:r w:rsidRPr="000115EC">
        <w:rPr>
          <w:u w:val="single"/>
        </w:rPr>
        <w:t>afleveradres</w:t>
      </w:r>
      <w:r w:rsidRPr="000115EC">
        <w:t xml:space="preserve"> opgegeven worden zoals Kempsstraat 15, 4921 TB  MADE of Collegeweg 1 of 1b, 4942 VC  RAAMSDONKSVEER.</w:t>
      </w:r>
    </w:p>
    <w:p w14:paraId="17B08558" w14:textId="77777777" w:rsidR="00D40187" w:rsidRDefault="00D40187" w:rsidP="00D40187"/>
    <w:p w14:paraId="69F850EA" w14:textId="77777777" w:rsidR="00D40187" w:rsidRDefault="00D40187" w:rsidP="00D40187">
      <w:r>
        <w:lastRenderedPageBreak/>
        <w:t>Het is de verantwoordelijkheid van de besteller om te zorgen dat de leverancier de juiste adressering hanteert.</w:t>
      </w:r>
    </w:p>
    <w:p w14:paraId="764519F0" w14:textId="77777777" w:rsidR="00D40187" w:rsidRDefault="00D40187" w:rsidP="00D40187"/>
    <w:p w14:paraId="540112D5" w14:textId="77777777" w:rsidR="00D40187" w:rsidRDefault="00D40187" w:rsidP="00D40187">
      <w:r>
        <w:t>Kleine betalingen of uitgaven die contact geld vragen lopen via de kas.</w:t>
      </w:r>
    </w:p>
    <w:p w14:paraId="483C5EF4" w14:textId="77777777" w:rsidR="004A7477" w:rsidRDefault="004A7477" w:rsidP="00D40187"/>
    <w:p w14:paraId="4F138DDB" w14:textId="77777777" w:rsidR="00D40187" w:rsidRDefault="00D40187" w:rsidP="004A7477">
      <w:pPr>
        <w:pStyle w:val="Kop4"/>
      </w:pPr>
      <w:r>
        <w:t>Andere betaalmogelijkheden</w:t>
      </w:r>
    </w:p>
    <w:p w14:paraId="3C35F4E2" w14:textId="33321EA1" w:rsidR="00D40187" w:rsidRDefault="00D40187" w:rsidP="00D40187">
      <w:r>
        <w:t>In deze moderne tijd waarin nieuwe betaalmogelijkheden worden aangeboden en leveranciers ook meegaan in het aanbieden ervan, blijft het Dongemond college vasthouden aan het principe van factuurbetalingen in combinatie met het gecoördineerde inkoopmodel.</w:t>
      </w:r>
    </w:p>
    <w:p w14:paraId="7D005245" w14:textId="77777777" w:rsidR="00D40187" w:rsidRDefault="00D40187" w:rsidP="00D40187"/>
    <w:p w14:paraId="10612EE9" w14:textId="77777777" w:rsidR="00D40187" w:rsidRDefault="00D40187" w:rsidP="00D40187">
      <w:r>
        <w:t xml:space="preserve">Leveranciers bieden tegenwoordig ook mogelijkheden om bestellingen gelijk te betalen via credit card, eenmalige machtiging, PayPal, iDeal enz. </w:t>
      </w:r>
    </w:p>
    <w:p w14:paraId="7B514E46" w14:textId="663E220E" w:rsidR="00D40187" w:rsidRDefault="00D40187" w:rsidP="00D40187">
      <w:r>
        <w:t>Het Dongemond college kent geen credit cards en zal deze ook niet aanschaffen.</w:t>
      </w:r>
    </w:p>
    <w:p w14:paraId="7934C505" w14:textId="77777777" w:rsidR="00D40187" w:rsidRDefault="00D40187" w:rsidP="00D40187">
      <w:r>
        <w:t>Medio 2016 is de iDeal betaalfunctie op het Dongemond college geïntroduceerd voor beperkte betalingen (&lt; € 500) als een bestelling dit noodzakelijk maakt (bijv. rouwadvertentie) en niet voor een factuur gekozen kan worden.</w:t>
      </w:r>
    </w:p>
    <w:p w14:paraId="787738BD" w14:textId="77777777" w:rsidR="00D40187" w:rsidRDefault="00D40187" w:rsidP="00D40187">
      <w:r>
        <w:t> </w:t>
      </w:r>
    </w:p>
    <w:p w14:paraId="10C8A878" w14:textId="77777777" w:rsidR="00D40187" w:rsidRDefault="00D40187" w:rsidP="00D40187">
      <w:r>
        <w:t>Alleen voor leveringen met een belangrijke mate van afhankelijkheid (bijv. energie, internet en telefonie) waar een tijdige betaling noodzakelijk is, zijn/worden incassomachtigingen afgegeven.</w:t>
      </w:r>
    </w:p>
    <w:p w14:paraId="7CF3B62B" w14:textId="77777777" w:rsidR="00D40187" w:rsidRDefault="00D40187" w:rsidP="00D40187">
      <w:r>
        <w:t>Het verstrekken van eenmalige machtigingen is niet toegestaan.</w:t>
      </w:r>
    </w:p>
    <w:p w14:paraId="2CA080C4" w14:textId="77777777" w:rsidR="004A7477" w:rsidRDefault="004A7477" w:rsidP="00D40187"/>
    <w:p w14:paraId="24789D78" w14:textId="77777777" w:rsidR="00D40187" w:rsidRDefault="00D40187" w:rsidP="004A7477">
      <w:pPr>
        <w:pStyle w:val="Kop4"/>
      </w:pPr>
      <w:r>
        <w:lastRenderedPageBreak/>
        <w:t>Rechtmatigheid</w:t>
      </w:r>
    </w:p>
    <w:p w14:paraId="423DDC43" w14:textId="77777777" w:rsidR="00D40187" w:rsidRDefault="00D40187" w:rsidP="00D40187">
      <w:r>
        <w:t>Pas als een uitgave rechtmatig is wordt deze door de budgethouder voorgedragen voor betaling.</w:t>
      </w:r>
    </w:p>
    <w:p w14:paraId="5A37BDBF" w14:textId="77777777" w:rsidR="00D40187" w:rsidRDefault="00D40187" w:rsidP="00D40187">
      <w:r>
        <w:t>Of een uitgaaf rechtmatig is hangt van een aantal factoren af. Zo mag er bijvoorbeeld geen twijfel bestaan dat de uitgaaf uitsluitend bestemd is voor het Dongemond college en past binnen wet- en regelgeving, afgesloten contracten en beschikbare budgetten.</w:t>
      </w:r>
    </w:p>
    <w:p w14:paraId="27772633" w14:textId="77777777" w:rsidR="00D40187" w:rsidRDefault="00D40187" w:rsidP="00D40187"/>
    <w:p w14:paraId="210135E4" w14:textId="77777777" w:rsidR="00D40187" w:rsidRDefault="00D40187" w:rsidP="00D40187">
      <w:r>
        <w:t>Er worden geen betalingen verricht:</w:t>
      </w:r>
    </w:p>
    <w:p w14:paraId="467D2A9E" w14:textId="77777777" w:rsidR="00D40187" w:rsidRDefault="00D40187" w:rsidP="004A7477">
      <w:pPr>
        <w:pStyle w:val="Lijstalinea"/>
        <w:numPr>
          <w:ilvl w:val="0"/>
          <w:numId w:val="22"/>
        </w:numPr>
      </w:pPr>
      <w:r>
        <w:t>waaraan geen factuur of declaratie ten grondslag ligt;</w:t>
      </w:r>
    </w:p>
    <w:p w14:paraId="4AD8D17B" w14:textId="77777777" w:rsidR="00D40187" w:rsidRDefault="00D40187" w:rsidP="004A7477">
      <w:pPr>
        <w:pStyle w:val="Lijstalinea"/>
        <w:numPr>
          <w:ilvl w:val="0"/>
          <w:numId w:val="22"/>
        </w:numPr>
      </w:pPr>
      <w:r>
        <w:t>op grond van een offerte of pakbon;</w:t>
      </w:r>
    </w:p>
    <w:p w14:paraId="7AE92C9A" w14:textId="77777777" w:rsidR="00D40187" w:rsidRDefault="00D40187" w:rsidP="004A7477">
      <w:pPr>
        <w:pStyle w:val="Lijstalinea"/>
        <w:numPr>
          <w:ilvl w:val="0"/>
          <w:numId w:val="22"/>
        </w:numPr>
      </w:pPr>
      <w:r>
        <w:t>waarvan de adressering op de factuur als in 4.3.3 vermeld ontbreekt;</w:t>
      </w:r>
    </w:p>
    <w:p w14:paraId="5E6116BD" w14:textId="77777777" w:rsidR="00D40187" w:rsidRDefault="00D40187" w:rsidP="004A7477">
      <w:pPr>
        <w:pStyle w:val="Lijstalinea"/>
        <w:numPr>
          <w:ilvl w:val="0"/>
          <w:numId w:val="22"/>
        </w:numPr>
      </w:pPr>
      <w:r>
        <w:t>die niet zijn goedgekeurd door een budgethouder;</w:t>
      </w:r>
    </w:p>
    <w:p w14:paraId="4DB2482C" w14:textId="77777777" w:rsidR="00D40187" w:rsidRDefault="00D40187" w:rsidP="004A7477">
      <w:pPr>
        <w:pStyle w:val="Lijstalinea"/>
        <w:numPr>
          <w:ilvl w:val="0"/>
          <w:numId w:val="22"/>
        </w:numPr>
      </w:pPr>
      <w:r>
        <w:t>waarvan een codering voor verwerking in de financiële administratie ontbreekt;</w:t>
      </w:r>
    </w:p>
    <w:p w14:paraId="4B878EF5" w14:textId="77777777" w:rsidR="00D40187" w:rsidRDefault="00D40187" w:rsidP="00D40187"/>
    <w:p w14:paraId="2A843814" w14:textId="77777777" w:rsidR="00D40187" w:rsidRDefault="00D40187" w:rsidP="004A7477">
      <w:pPr>
        <w:pStyle w:val="Kop2"/>
      </w:pPr>
      <w:bookmarkStart w:id="22" w:name="_Toc36133467"/>
      <w:r>
        <w:t>Herijking inkoop- en aanbestedingsbeleid</w:t>
      </w:r>
      <w:bookmarkEnd w:id="22"/>
    </w:p>
    <w:p w14:paraId="2D682066" w14:textId="77777777" w:rsidR="00D40187" w:rsidRDefault="00D40187" w:rsidP="00D40187">
      <w:r>
        <w:t xml:space="preserve">De wereld rondom inkoop en aanbesteden is in beweging door zowel externe factoren (regelgeving, marktontwikkelingen, jurisprudentie etc.) als interne factoren (verdere professionalisering). </w:t>
      </w:r>
    </w:p>
    <w:p w14:paraId="0EAFA753" w14:textId="77777777" w:rsidR="00D40187" w:rsidRDefault="00D40187" w:rsidP="00D40187">
      <w:r>
        <w:t xml:space="preserve">Het inkoop- en aanbestedingsbeleid van het Dongemond college wordt daarom elke twee jaar geëvalueerd en herijkt. </w:t>
      </w:r>
    </w:p>
    <w:p w14:paraId="03B2CC76" w14:textId="77777777" w:rsidR="00D40187" w:rsidRDefault="00D40187" w:rsidP="00D40187">
      <w:r>
        <w:lastRenderedPageBreak/>
        <w:t>De ontwikkelingen in de Europese regelgeving worden gevolgd en nieuwe regelgeving wordt integraal in dit beleid van toepassing verklaard. Ook interne ontwikkelingen kunnen aanleiding geven het inkoop- en aanbestedingsbeleid te herzien.</w:t>
      </w:r>
    </w:p>
    <w:p w14:paraId="7D5A6BE8" w14:textId="77777777" w:rsidR="00D40187" w:rsidRDefault="00D40187" w:rsidP="00D40187"/>
    <w:p w14:paraId="10EAA775" w14:textId="77777777" w:rsidR="00AA3AE6" w:rsidRDefault="00AA3AE6">
      <w:pPr>
        <w:spacing w:after="160"/>
      </w:pPr>
      <w:r>
        <w:br w:type="page"/>
      </w:r>
    </w:p>
    <w:p w14:paraId="1526F6DE" w14:textId="77777777" w:rsidR="00D40187" w:rsidRDefault="00D40187" w:rsidP="00D40187"/>
    <w:p w14:paraId="12D96171" w14:textId="77777777" w:rsidR="00D40187" w:rsidRDefault="00D40187" w:rsidP="004A7477">
      <w:pPr>
        <w:pStyle w:val="Kop3"/>
      </w:pPr>
      <w:bookmarkStart w:id="23" w:name="_Toc36133468"/>
      <w:r>
        <w:t>Bijlage 1</w:t>
      </w:r>
      <w:r w:rsidR="004A7477">
        <w:t xml:space="preserve"> </w:t>
      </w:r>
      <w:r>
        <w:t>Begripsbepaling</w:t>
      </w:r>
      <w:bookmarkEnd w:id="23"/>
    </w:p>
    <w:p w14:paraId="387BE7C5" w14:textId="77777777" w:rsidR="004A7477" w:rsidRDefault="004A7477" w:rsidP="00D40187"/>
    <w:p w14:paraId="0477417E" w14:textId="77777777" w:rsidR="00D40187" w:rsidRDefault="00D40187" w:rsidP="00D40187">
      <w:r>
        <w:t>Definitie van inkoop</w:t>
      </w:r>
    </w:p>
    <w:p w14:paraId="6E1838D7" w14:textId="77777777" w:rsidR="00D40187" w:rsidRDefault="00D40187" w:rsidP="00D40187">
      <w:r>
        <w:t>Inkoop wordt gedefinieerd als: ‘alles waar een externe factuur tegenover staat’. Dit houdt in dat zowel leveringen, diensten als werken onder de noemer ‘inkoop’ vallen.</w:t>
      </w:r>
    </w:p>
    <w:p w14:paraId="3249878B" w14:textId="77777777" w:rsidR="00D40187" w:rsidRDefault="00D40187" w:rsidP="00D40187"/>
    <w:p w14:paraId="49E1A7A7" w14:textId="77777777" w:rsidR="00D40187" w:rsidRDefault="00D40187" w:rsidP="00D40187">
      <w:r>
        <w:t>Het inkoopproces</w:t>
      </w:r>
    </w:p>
    <w:p w14:paraId="70E9886F" w14:textId="77777777" w:rsidR="00D40187" w:rsidRDefault="00D40187" w:rsidP="00D40187">
      <w:r>
        <w:t>Het inkoopproces kan worden onderscheiden in een zevental fasen:</w:t>
      </w:r>
    </w:p>
    <w:p w14:paraId="4A23F133" w14:textId="77777777" w:rsidR="004A7477" w:rsidRDefault="004A7477" w:rsidP="00D40187"/>
    <w:p w14:paraId="5FE91A80" w14:textId="77777777" w:rsidR="004A7477" w:rsidRDefault="004A7477" w:rsidP="00D40187">
      <w:r w:rsidRPr="004A7477">
        <w:rPr>
          <w:noProof/>
          <w:lang w:eastAsia="nl-NL"/>
        </w:rPr>
        <w:drawing>
          <wp:inline distT="0" distB="0" distL="0" distR="0" wp14:anchorId="785F627F" wp14:editId="7E5291C7">
            <wp:extent cx="5760720" cy="16852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685290"/>
                    </a:xfrm>
                    <a:prstGeom prst="rect">
                      <a:avLst/>
                    </a:prstGeom>
                    <a:noFill/>
                    <a:ln>
                      <a:noFill/>
                    </a:ln>
                  </pic:spPr>
                </pic:pic>
              </a:graphicData>
            </a:graphic>
          </wp:inline>
        </w:drawing>
      </w:r>
    </w:p>
    <w:p w14:paraId="0CAA8CB3" w14:textId="77777777" w:rsidR="004A7477" w:rsidRDefault="004A7477" w:rsidP="00D40187"/>
    <w:p w14:paraId="05E46D99" w14:textId="77777777" w:rsidR="004A7477" w:rsidRDefault="004A7477" w:rsidP="004A7477">
      <w:r>
        <w:t>Het initiële/tactische inkoopproces omvat:</w:t>
      </w:r>
    </w:p>
    <w:p w14:paraId="274D2D66" w14:textId="77777777" w:rsidR="004A7477" w:rsidRDefault="004A7477" w:rsidP="004A7477">
      <w:pPr>
        <w:pStyle w:val="Lijstalinea"/>
        <w:numPr>
          <w:ilvl w:val="0"/>
          <w:numId w:val="23"/>
        </w:numPr>
      </w:pPr>
      <w:r>
        <w:t>Inventariseren: het bepalen van de behoefte van de eigen organisatie en het inventariseren van het aanbod in de markt;</w:t>
      </w:r>
    </w:p>
    <w:p w14:paraId="56D358FA" w14:textId="77777777" w:rsidR="004A7477" w:rsidRDefault="004A7477" w:rsidP="004A7477">
      <w:pPr>
        <w:pStyle w:val="Lijstalinea"/>
        <w:numPr>
          <w:ilvl w:val="0"/>
          <w:numId w:val="23"/>
        </w:numPr>
      </w:pPr>
      <w:r>
        <w:t>Specificeren: het opstellen van het programma van eisen, conceptovereenkomst en de offerteaanvraag;</w:t>
      </w:r>
    </w:p>
    <w:p w14:paraId="05094E22" w14:textId="77777777" w:rsidR="004A7477" w:rsidRDefault="004A7477" w:rsidP="004A7477">
      <w:pPr>
        <w:pStyle w:val="Lijstalinea"/>
        <w:numPr>
          <w:ilvl w:val="0"/>
          <w:numId w:val="23"/>
        </w:numPr>
      </w:pPr>
      <w:r>
        <w:lastRenderedPageBreak/>
        <w:t>Selecteren: het aanvragen en beoordelen van offertes en selecteren van de beste leveranciers;</w:t>
      </w:r>
    </w:p>
    <w:p w14:paraId="510723A0" w14:textId="77777777" w:rsidR="004A7477" w:rsidRDefault="004A7477" w:rsidP="004A7477">
      <w:pPr>
        <w:pStyle w:val="Lijstalinea"/>
        <w:numPr>
          <w:ilvl w:val="0"/>
          <w:numId w:val="23"/>
        </w:numPr>
      </w:pPr>
      <w:r>
        <w:t>Contracteren: het eventueel onderhandelen met leveranciers en afsluiten van contracten.</w:t>
      </w:r>
    </w:p>
    <w:p w14:paraId="19EE9096" w14:textId="77777777" w:rsidR="004A7477" w:rsidRDefault="004A7477" w:rsidP="004A7477"/>
    <w:p w14:paraId="702D8DB3" w14:textId="77777777" w:rsidR="004A7477" w:rsidRDefault="004A7477" w:rsidP="004A7477">
      <w:r>
        <w:t>Na het contracteren van de leveranciers volgt het operationele inkoopproces. Dit houdt in:</w:t>
      </w:r>
    </w:p>
    <w:p w14:paraId="1EA2099C" w14:textId="77777777" w:rsidR="004A7477" w:rsidRDefault="004A7477" w:rsidP="004A7477">
      <w:pPr>
        <w:pStyle w:val="Lijstalinea"/>
        <w:numPr>
          <w:ilvl w:val="0"/>
          <w:numId w:val="23"/>
        </w:numPr>
      </w:pPr>
      <w:r>
        <w:t>Bestellen: het plaatsen van orders;</w:t>
      </w:r>
    </w:p>
    <w:p w14:paraId="495769A2" w14:textId="77777777" w:rsidR="004A7477" w:rsidRDefault="004A7477" w:rsidP="004A7477">
      <w:pPr>
        <w:pStyle w:val="Lijstalinea"/>
        <w:numPr>
          <w:ilvl w:val="0"/>
          <w:numId w:val="23"/>
        </w:numPr>
      </w:pPr>
      <w:r>
        <w:t>Bewaken: het bewaken van het uitleveren van orders, verifiëren en afhandelen van facturen;</w:t>
      </w:r>
    </w:p>
    <w:p w14:paraId="397C3C07" w14:textId="77777777" w:rsidR="004A7477" w:rsidRDefault="004A7477" w:rsidP="004A7477">
      <w:pPr>
        <w:pStyle w:val="Lijstalinea"/>
        <w:numPr>
          <w:ilvl w:val="0"/>
          <w:numId w:val="23"/>
        </w:numPr>
      </w:pPr>
      <w:r>
        <w:t>Nazorg: het afhandelen van klachten en claims, afhandelen van meer-/minderwerk, evalueren van leveranciers en herzien van contracten.</w:t>
      </w:r>
    </w:p>
    <w:p w14:paraId="6E1799A7" w14:textId="77777777" w:rsidR="004A7477" w:rsidRDefault="004A7477" w:rsidP="004A7477"/>
    <w:p w14:paraId="1A6E95F4" w14:textId="77777777" w:rsidR="004A7477" w:rsidRDefault="004A7477" w:rsidP="004A7477"/>
    <w:p w14:paraId="1F7B75E7" w14:textId="77777777" w:rsidR="004A7477" w:rsidRDefault="004A7477" w:rsidP="004A7477">
      <w:r>
        <w:t> </w:t>
      </w:r>
    </w:p>
    <w:p w14:paraId="5E66E49A" w14:textId="77777777" w:rsidR="004A7477" w:rsidRDefault="004A7477">
      <w:pPr>
        <w:spacing w:after="160"/>
      </w:pPr>
      <w:r>
        <w:br w:type="page"/>
      </w:r>
    </w:p>
    <w:p w14:paraId="2C5CBEF0" w14:textId="77777777" w:rsidR="004A7477" w:rsidRDefault="004A7477" w:rsidP="004A7477">
      <w:pPr>
        <w:pStyle w:val="Kop3"/>
      </w:pPr>
      <w:bookmarkStart w:id="24" w:name="_Toc36133469"/>
      <w:r>
        <w:lastRenderedPageBreak/>
        <w:t>Bijlage 2 Algemene Inkoopvoorwaarden</w:t>
      </w:r>
      <w:bookmarkEnd w:id="24"/>
    </w:p>
    <w:p w14:paraId="7D15D29A" w14:textId="77777777" w:rsidR="004A7477" w:rsidRDefault="004A7477" w:rsidP="004A7477"/>
    <w:p w14:paraId="493D60D8" w14:textId="77777777" w:rsidR="004A7477" w:rsidRDefault="004A7477" w:rsidP="004A7477">
      <w:r>
        <w:t>Het Dongemond college hanteert eigen inkoopvoorwaarden die zijn gedeponeerd bij de Kamer van Koophandel.</w:t>
      </w:r>
    </w:p>
    <w:p w14:paraId="52B924E5" w14:textId="77777777" w:rsidR="004A7477" w:rsidRDefault="004A7477" w:rsidP="004A7477"/>
    <w:p w14:paraId="23C94AA5" w14:textId="77777777" w:rsidR="004A7477" w:rsidRDefault="004A7477" w:rsidP="004A7477">
      <w:r>
        <w:t xml:space="preserve">De Algemene Inkoopvoorwaarden staan op de site van het Dongemond college. </w:t>
      </w:r>
    </w:p>
    <w:p w14:paraId="7C417387" w14:textId="77777777" w:rsidR="004A7477" w:rsidRPr="006C7C42" w:rsidRDefault="004A7477" w:rsidP="00D40187"/>
    <w:sectPr w:rsidR="004A7477" w:rsidRPr="006C7C42" w:rsidSect="000D01D7">
      <w:headerReference w:type="default" r:id="rId9"/>
      <w:footerReference w:type="default" r:id="rId10"/>
      <w:footerReference w:type="first" r:id="rId11"/>
      <w:pgSz w:w="11906" w:h="16838"/>
      <w:pgMar w:top="269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E0E79" w14:textId="77777777" w:rsidR="00593374" w:rsidRDefault="00593374" w:rsidP="006C7C42">
      <w:r>
        <w:separator/>
      </w:r>
    </w:p>
  </w:endnote>
  <w:endnote w:type="continuationSeparator" w:id="0">
    <w:p w14:paraId="7EA2E071" w14:textId="77777777" w:rsidR="00593374" w:rsidRDefault="00593374" w:rsidP="006C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02806"/>
      <w:docPartObj>
        <w:docPartGallery w:val="Page Numbers (Bottom of Page)"/>
        <w:docPartUnique/>
      </w:docPartObj>
    </w:sdtPr>
    <w:sdtEndPr/>
    <w:sdtContent>
      <w:p w14:paraId="116E31AB" w14:textId="77777777" w:rsidR="004E41C1" w:rsidRDefault="00794B61" w:rsidP="006C7C42">
        <w:pPr>
          <w:pStyle w:val="Voettekst"/>
        </w:pPr>
        <w:r>
          <w:rPr>
            <w:noProof/>
            <w:lang w:eastAsia="nl-NL"/>
          </w:rPr>
          <mc:AlternateContent>
            <mc:Choice Requires="wps">
              <w:drawing>
                <wp:anchor distT="0" distB="0" distL="114300" distR="114300" simplePos="0" relativeHeight="251661312" behindDoc="0" locked="0" layoutInCell="1" allowOverlap="1" wp14:anchorId="3206DFBF" wp14:editId="4CC277BB">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13C18C3" w14:textId="6EB89794" w:rsidR="00794B61" w:rsidRDefault="00794B6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0271A" w:rsidRPr="0030271A">
                                <w:rPr>
                                  <w:noProof/>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206DFBF" id="Rechthoek 1"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313C18C3" w14:textId="6EB89794" w:rsidR="00794B61" w:rsidRDefault="00794B6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0271A" w:rsidRPr="0030271A">
                          <w:rPr>
                            <w:noProof/>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962231"/>
      <w:docPartObj>
        <w:docPartGallery w:val="Page Numbers (Bottom of Page)"/>
        <w:docPartUnique/>
      </w:docPartObj>
    </w:sdtPr>
    <w:sdtEndPr/>
    <w:sdtContent>
      <w:p w14:paraId="42DC6AB1" w14:textId="77777777" w:rsidR="006D65DF" w:rsidRDefault="00610232" w:rsidP="006C7C42">
        <w:pPr>
          <w:pStyle w:val="Voettekst"/>
        </w:pPr>
        <w:r>
          <w:rPr>
            <w:noProof/>
            <w:lang w:eastAsia="nl-NL"/>
          </w:rPr>
          <mc:AlternateContent>
            <mc:Choice Requires="wps">
              <w:drawing>
                <wp:anchor distT="0" distB="0" distL="114300" distR="114300" simplePos="0" relativeHeight="251659264" behindDoc="0" locked="0" layoutInCell="1" allowOverlap="1" wp14:anchorId="5B781680" wp14:editId="290416FA">
                  <wp:simplePos x="0" y="0"/>
                  <wp:positionH relativeFrom="rightMargin">
                    <wp:align>center</wp:align>
                  </wp:positionH>
                  <wp:positionV relativeFrom="bottomMargin">
                    <wp:align>center</wp:align>
                  </wp:positionV>
                  <wp:extent cx="565785" cy="191770"/>
                  <wp:effectExtent l="0" t="0" r="0" b="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361A526" w14:textId="77777777" w:rsidR="00610232" w:rsidRDefault="00610232" w:rsidP="006C7C42">
                              <w:pP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B781680" id="Rechthoek 6" o:spid="_x0000_s102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" filled="f" fillcolor="#c0504d" stroked="f" strokecolor="#5c83b4" strokeweight="2.25pt">
                  <v:textbox inset=",0,,0">
                    <w:txbxContent>
                      <w:p w14:paraId="2361A526" w14:textId="77777777" w:rsidR="00610232" w:rsidRDefault="00610232" w:rsidP="006C7C42">
                        <w:pP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E7F46" w14:textId="77777777" w:rsidR="00593374" w:rsidRDefault="00593374" w:rsidP="006C7C42">
      <w:r>
        <w:separator/>
      </w:r>
    </w:p>
  </w:footnote>
  <w:footnote w:type="continuationSeparator" w:id="0">
    <w:p w14:paraId="56A47479" w14:textId="77777777" w:rsidR="00593374" w:rsidRDefault="00593374" w:rsidP="006C7C42">
      <w:r>
        <w:continuationSeparator/>
      </w:r>
    </w:p>
  </w:footnote>
  <w:footnote w:id="1">
    <w:p w14:paraId="46016CE8" w14:textId="77777777" w:rsidR="00842C6E" w:rsidRPr="00842C6E" w:rsidRDefault="00842C6E" w:rsidP="00842C6E">
      <w:pPr>
        <w:pStyle w:val="Voetnoottekst"/>
        <w:rPr>
          <w:color w:val="4472C4" w:themeColor="accent1"/>
        </w:rPr>
      </w:pPr>
      <w:r w:rsidRPr="00842C6E">
        <w:rPr>
          <w:rStyle w:val="Voetnootmarkering"/>
          <w:color w:val="4472C4" w:themeColor="accent1"/>
        </w:rPr>
        <w:footnoteRef/>
      </w:r>
      <w:r w:rsidRPr="00842C6E">
        <w:rPr>
          <w:color w:val="4472C4" w:themeColor="accent1"/>
        </w:rPr>
        <w:t xml:space="preserve"> </w:t>
      </w:r>
      <w:hyperlink r:id="rId1" w:history="1">
        <w:r w:rsidRPr="00842C6E">
          <w:rPr>
            <w:rStyle w:val="Hyperlink"/>
            <w:color w:val="4472C4" w:themeColor="accent1"/>
          </w:rPr>
          <w:t>https://wetten.overheid.nl/BWBR0032203/2019-04-18</w:t>
        </w:r>
      </w:hyperlink>
    </w:p>
  </w:footnote>
  <w:footnote w:id="2">
    <w:p w14:paraId="11A495EA" w14:textId="77777777" w:rsidR="006D5878" w:rsidRDefault="006D5878">
      <w:pPr>
        <w:pStyle w:val="Voetnoottekst"/>
      </w:pPr>
      <w:r>
        <w:rPr>
          <w:rStyle w:val="Voetnootmarkering"/>
        </w:rPr>
        <w:footnoteRef/>
      </w:r>
      <w:r>
        <w:t xml:space="preserve"> Proportionaliteit houdt in dat een opdrachtgever uitsluitend eisen, voorwaarden en criteria stelt aan inschrijvers en inschrijvingen die in een redelijke verhouding staan tot het onderwerp van inkoop.</w:t>
      </w:r>
    </w:p>
  </w:footnote>
  <w:footnote w:id="3">
    <w:p w14:paraId="7217E050" w14:textId="77777777" w:rsidR="006C48AD" w:rsidRDefault="006C48AD">
      <w:pPr>
        <w:pStyle w:val="Voetnoottekst"/>
      </w:pPr>
      <w:r>
        <w:rPr>
          <w:rStyle w:val="Voetnootmarkering"/>
        </w:rPr>
        <w:footnoteRef/>
      </w:r>
      <w:r>
        <w:t xml:space="preserve"> </w:t>
      </w:r>
      <w:hyperlink r:id="rId2" w:history="1">
        <w:r w:rsidRPr="006C48AD">
          <w:rPr>
            <w:rStyle w:val="Hyperlink"/>
          </w:rPr>
          <w:t>https://www.pianoo.nl/over-pianoo/vakgroepen/vakgroep-aanbestedingsrecht/visie-2-model-k-verklaring</w:t>
        </w:r>
      </w:hyperlink>
    </w:p>
  </w:footnote>
  <w:footnote w:id="4">
    <w:p w14:paraId="190540A5" w14:textId="77777777" w:rsidR="006C48AD" w:rsidRPr="006C48AD" w:rsidRDefault="006C48AD" w:rsidP="006C48AD">
      <w:pPr>
        <w:pStyle w:val="Voetnoottekst"/>
      </w:pPr>
      <w:r w:rsidRPr="00842C6E">
        <w:rPr>
          <w:rStyle w:val="Voetnootmarkering"/>
        </w:rPr>
        <w:footnoteRef/>
      </w:r>
      <w:r w:rsidRPr="00842C6E">
        <w:t xml:space="preserve"> </w:t>
      </w:r>
      <w:hyperlink r:id="rId3" w:history="1">
        <w:r w:rsidRPr="00842C6E">
          <w:rPr>
            <w:rStyle w:val="Hyperlink"/>
          </w:rPr>
          <w:t>https://www.pianoo.nl/sites/default/files/documents/documents/gewijzigde-circulaire-grensbedragen-procedures-aanbestedingswet-2012-per-1-sept-2015.pdf</w:t>
        </w:r>
      </w:hyperlink>
    </w:p>
    <w:p w14:paraId="798DBCD9" w14:textId="77777777" w:rsidR="006C48AD" w:rsidRDefault="006C48AD">
      <w:pPr>
        <w:pStyle w:val="Voetnoottekst"/>
      </w:pPr>
    </w:p>
  </w:footnote>
  <w:footnote w:id="5">
    <w:p w14:paraId="4D92D8E7" w14:textId="77777777" w:rsidR="00307F76" w:rsidRDefault="00307F76">
      <w:pPr>
        <w:pStyle w:val="Voetnoottekst"/>
      </w:pPr>
      <w:r>
        <w:rPr>
          <w:rStyle w:val="Voetnootmarkering"/>
        </w:rPr>
        <w:footnoteRef/>
      </w:r>
      <w:r>
        <w:t xml:space="preserve"> </w:t>
      </w:r>
      <w:r w:rsidRPr="00307F76">
        <w:t>Aan de hand van kennis van de markt wordt een shortlist van potentiële leveranciers opgesteld. Uit deze shortlist worden gegadigden gekozen die worden uitgenodigd een offerte in te dienen.</w:t>
      </w:r>
    </w:p>
  </w:footnote>
  <w:footnote w:id="6">
    <w:p w14:paraId="1597EA5D" w14:textId="77777777" w:rsidR="00D40187" w:rsidRPr="00D6231C" w:rsidRDefault="00D40187" w:rsidP="00D40187">
      <w:pPr>
        <w:pStyle w:val="Voetnoottekst"/>
      </w:pPr>
      <w:r>
        <w:rPr>
          <w:rStyle w:val="Voetnootmarkering"/>
        </w:rPr>
        <w:footnoteRef/>
      </w:r>
      <w:r w:rsidRPr="00D6231C">
        <w:t xml:space="preserve"> </w:t>
      </w:r>
      <w:r>
        <w:t>Bij vervanging van het college van bestuur, directeur of hoofd van dienst gelden de bepalingen uit het managementstatuut.</w:t>
      </w:r>
    </w:p>
  </w:footnote>
  <w:footnote w:id="7">
    <w:p w14:paraId="0006C077" w14:textId="77777777" w:rsidR="00307F76" w:rsidRDefault="00307F76">
      <w:pPr>
        <w:pStyle w:val="Voetnoottekst"/>
      </w:pPr>
      <w:r>
        <w:rPr>
          <w:rStyle w:val="Voetnootmarkering"/>
        </w:rPr>
        <w:footnoteRef/>
      </w:r>
      <w:r>
        <w:t xml:space="preserve"> Zie artikel 2.115 van de Aanbestedingswet 2012.</w:t>
      </w:r>
    </w:p>
  </w:footnote>
  <w:footnote w:id="8">
    <w:p w14:paraId="1E123E12" w14:textId="77777777" w:rsidR="000D358F" w:rsidRDefault="000D358F">
      <w:pPr>
        <w:pStyle w:val="Voetnoottekst"/>
      </w:pPr>
      <w:r>
        <w:rPr>
          <w:rStyle w:val="Voetnootmarkering"/>
        </w:rPr>
        <w:footnoteRef/>
      </w:r>
      <w:r>
        <w:t xml:space="preserve"> Art. 2.56 Aanbestedingswet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89E7F" w14:textId="77777777" w:rsidR="006A2038" w:rsidRDefault="006A2038" w:rsidP="006C7C42">
    <w:pPr>
      <w:pStyle w:val="Koptekst"/>
    </w:pPr>
    <w:r w:rsidRPr="006A2038">
      <w:rPr>
        <w:noProof/>
        <w:lang w:eastAsia="nl-NL"/>
      </w:rPr>
      <w:drawing>
        <wp:inline distT="0" distB="0" distL="0" distR="0" wp14:anchorId="48C63E47" wp14:editId="78500CC5">
          <wp:extent cx="3669366" cy="745846"/>
          <wp:effectExtent l="0" t="0" r="762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ongemond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2861" cy="7485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2C78"/>
    <w:multiLevelType w:val="hybridMultilevel"/>
    <w:tmpl w:val="582C182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96154C"/>
    <w:multiLevelType w:val="hybridMultilevel"/>
    <w:tmpl w:val="7D7A4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244BAF"/>
    <w:multiLevelType w:val="hybridMultilevel"/>
    <w:tmpl w:val="A0405BE4"/>
    <w:lvl w:ilvl="0" w:tplc="8B3050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B44791"/>
    <w:multiLevelType w:val="multilevel"/>
    <w:tmpl w:val="4B92858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4"/>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21F20309"/>
    <w:multiLevelType w:val="hybridMultilevel"/>
    <w:tmpl w:val="2DFEC08A"/>
    <w:lvl w:ilvl="0" w:tplc="8B3050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281665"/>
    <w:multiLevelType w:val="multilevel"/>
    <w:tmpl w:val="B6B6FB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33251D7"/>
    <w:multiLevelType w:val="hybridMultilevel"/>
    <w:tmpl w:val="30D0E8AE"/>
    <w:lvl w:ilvl="0" w:tplc="6BACFC7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3613E6"/>
    <w:multiLevelType w:val="hybridMultilevel"/>
    <w:tmpl w:val="FFB086B0"/>
    <w:lvl w:ilvl="0" w:tplc="8B3050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7B2A0F"/>
    <w:multiLevelType w:val="multilevel"/>
    <w:tmpl w:val="745AFD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C141CC4"/>
    <w:multiLevelType w:val="hybridMultilevel"/>
    <w:tmpl w:val="3CBEA3A6"/>
    <w:lvl w:ilvl="0" w:tplc="AC34E60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EE28E5"/>
    <w:multiLevelType w:val="hybridMultilevel"/>
    <w:tmpl w:val="BCFE0828"/>
    <w:lvl w:ilvl="0" w:tplc="6344A600">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4C60B9"/>
    <w:multiLevelType w:val="hybridMultilevel"/>
    <w:tmpl w:val="89228652"/>
    <w:lvl w:ilvl="0" w:tplc="A26ED390">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2" w15:restartNumberingAfterBreak="0">
    <w:nsid w:val="44CE5C57"/>
    <w:multiLevelType w:val="multilevel"/>
    <w:tmpl w:val="796800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F1E6D72"/>
    <w:multiLevelType w:val="hybridMultilevel"/>
    <w:tmpl w:val="FB547526"/>
    <w:lvl w:ilvl="0" w:tplc="8B30506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4F7B20"/>
    <w:multiLevelType w:val="hybridMultilevel"/>
    <w:tmpl w:val="7376D1FE"/>
    <w:lvl w:ilvl="0" w:tplc="AB98968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E62D92"/>
    <w:multiLevelType w:val="hybridMultilevel"/>
    <w:tmpl w:val="D0166FEE"/>
    <w:lvl w:ilvl="0" w:tplc="8B3050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0C61E7"/>
    <w:multiLevelType w:val="hybridMultilevel"/>
    <w:tmpl w:val="6DDAD9F6"/>
    <w:lvl w:ilvl="0" w:tplc="8B3050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AB0597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A47DB8"/>
    <w:multiLevelType w:val="hybridMultilevel"/>
    <w:tmpl w:val="3DA0B15A"/>
    <w:lvl w:ilvl="0" w:tplc="4830C76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F6F7BCA"/>
    <w:multiLevelType w:val="hybridMultilevel"/>
    <w:tmpl w:val="CB840A2E"/>
    <w:lvl w:ilvl="0" w:tplc="B908DCD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C64D99"/>
    <w:multiLevelType w:val="hybridMultilevel"/>
    <w:tmpl w:val="F992FCD0"/>
    <w:lvl w:ilvl="0" w:tplc="1AB039C0">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3607C59"/>
    <w:multiLevelType w:val="hybridMultilevel"/>
    <w:tmpl w:val="D4985648"/>
    <w:lvl w:ilvl="0" w:tplc="0413000F">
      <w:start w:val="1"/>
      <w:numFmt w:val="decimal"/>
      <w:lvlText w:val="%1."/>
      <w:lvlJc w:val="left"/>
      <w:pPr>
        <w:ind w:left="720" w:hanging="360"/>
      </w:pPr>
    </w:lvl>
    <w:lvl w:ilvl="1" w:tplc="6AEA1872">
      <w:start w:val="2"/>
      <w:numFmt w:val="bullet"/>
      <w:lvlText w:val="•"/>
      <w:lvlJc w:val="left"/>
      <w:pPr>
        <w:ind w:left="1785" w:hanging="705"/>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8744865"/>
    <w:multiLevelType w:val="hybridMultilevel"/>
    <w:tmpl w:val="30186F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E6F42CA"/>
    <w:multiLevelType w:val="hybridMultilevel"/>
    <w:tmpl w:val="E0CC8D3C"/>
    <w:lvl w:ilvl="0" w:tplc="8B3050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7"/>
  </w:num>
  <w:num w:numId="4">
    <w:abstractNumId w:val="11"/>
  </w:num>
  <w:num w:numId="5">
    <w:abstractNumId w:val="11"/>
  </w:num>
  <w:num w:numId="6">
    <w:abstractNumId w:val="8"/>
  </w:num>
  <w:num w:numId="7">
    <w:abstractNumId w:val="12"/>
  </w:num>
  <w:num w:numId="8">
    <w:abstractNumId w:val="3"/>
  </w:num>
  <w:num w:numId="9">
    <w:abstractNumId w:val="23"/>
  </w:num>
  <w:num w:numId="10">
    <w:abstractNumId w:val="19"/>
  </w:num>
  <w:num w:numId="11">
    <w:abstractNumId w:val="2"/>
  </w:num>
  <w:num w:numId="12">
    <w:abstractNumId w:val="14"/>
  </w:num>
  <w:num w:numId="13">
    <w:abstractNumId w:val="7"/>
  </w:num>
  <w:num w:numId="14">
    <w:abstractNumId w:val="10"/>
  </w:num>
  <w:num w:numId="15">
    <w:abstractNumId w:val="21"/>
  </w:num>
  <w:num w:numId="16">
    <w:abstractNumId w:val="9"/>
  </w:num>
  <w:num w:numId="17">
    <w:abstractNumId w:val="0"/>
  </w:num>
  <w:num w:numId="18">
    <w:abstractNumId w:val="20"/>
  </w:num>
  <w:num w:numId="19">
    <w:abstractNumId w:val="13"/>
  </w:num>
  <w:num w:numId="20">
    <w:abstractNumId w:val="4"/>
  </w:num>
  <w:num w:numId="21">
    <w:abstractNumId w:val="15"/>
  </w:num>
  <w:num w:numId="22">
    <w:abstractNumId w:val="16"/>
  </w:num>
  <w:num w:numId="23">
    <w:abstractNumId w:val="6"/>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54"/>
    <w:rsid w:val="000115EC"/>
    <w:rsid w:val="00032E1B"/>
    <w:rsid w:val="000536AE"/>
    <w:rsid w:val="000A0999"/>
    <w:rsid w:val="000C78A8"/>
    <w:rsid w:val="000D01D7"/>
    <w:rsid w:val="000D358F"/>
    <w:rsid w:val="000F297F"/>
    <w:rsid w:val="001C7103"/>
    <w:rsid w:val="001C7925"/>
    <w:rsid w:val="001E07CF"/>
    <w:rsid w:val="00200108"/>
    <w:rsid w:val="0021535A"/>
    <w:rsid w:val="00271521"/>
    <w:rsid w:val="0030271A"/>
    <w:rsid w:val="00307F76"/>
    <w:rsid w:val="0033066A"/>
    <w:rsid w:val="003C657D"/>
    <w:rsid w:val="004126E6"/>
    <w:rsid w:val="004A7477"/>
    <w:rsid w:val="004E063D"/>
    <w:rsid w:val="004E41C1"/>
    <w:rsid w:val="004F6A4A"/>
    <w:rsid w:val="005061A4"/>
    <w:rsid w:val="0058355C"/>
    <w:rsid w:val="00593374"/>
    <w:rsid w:val="00610232"/>
    <w:rsid w:val="00612302"/>
    <w:rsid w:val="006A2038"/>
    <w:rsid w:val="006A545A"/>
    <w:rsid w:val="006C48AD"/>
    <w:rsid w:val="006C7C42"/>
    <w:rsid w:val="006D5878"/>
    <w:rsid w:val="006D65DF"/>
    <w:rsid w:val="006F7415"/>
    <w:rsid w:val="0070772F"/>
    <w:rsid w:val="00764146"/>
    <w:rsid w:val="00794B61"/>
    <w:rsid w:val="007B669B"/>
    <w:rsid w:val="00827D81"/>
    <w:rsid w:val="00842C6E"/>
    <w:rsid w:val="00862A3A"/>
    <w:rsid w:val="00900F68"/>
    <w:rsid w:val="0091086C"/>
    <w:rsid w:val="009406C9"/>
    <w:rsid w:val="009B2B4B"/>
    <w:rsid w:val="00AA3AE6"/>
    <w:rsid w:val="00AB2254"/>
    <w:rsid w:val="00B62DDA"/>
    <w:rsid w:val="00BE2C71"/>
    <w:rsid w:val="00CC3261"/>
    <w:rsid w:val="00D00239"/>
    <w:rsid w:val="00D40187"/>
    <w:rsid w:val="00D859CF"/>
    <w:rsid w:val="00DA1E9E"/>
    <w:rsid w:val="00DC64B0"/>
    <w:rsid w:val="00DE7090"/>
    <w:rsid w:val="00E123F5"/>
    <w:rsid w:val="00E42122"/>
    <w:rsid w:val="00ED778D"/>
    <w:rsid w:val="00F26FD6"/>
    <w:rsid w:val="00FA75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35F7BA"/>
  <w15:docId w15:val="{38C9CE2F-E80E-4CF8-B1B8-64049046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7C42"/>
    <w:pPr>
      <w:spacing w:after="0"/>
    </w:pPr>
    <w:rPr>
      <w:rFonts w:ascii="Arial" w:hAnsi="Arial" w:cs="Arial"/>
      <w:sz w:val="20"/>
      <w:szCs w:val="20"/>
    </w:rPr>
  </w:style>
  <w:style w:type="paragraph" w:styleId="Kop1">
    <w:name w:val="heading 1"/>
    <w:basedOn w:val="Standaard"/>
    <w:next w:val="Standaard"/>
    <w:link w:val="Kop1Char"/>
    <w:autoRedefine/>
    <w:uiPriority w:val="9"/>
    <w:qFormat/>
    <w:rsid w:val="009406C9"/>
    <w:pPr>
      <w:keepNext/>
      <w:keepLines/>
      <w:numPr>
        <w:numId w:val="8"/>
      </w:numPr>
      <w:spacing w:before="240"/>
      <w:outlineLvl w:val="0"/>
    </w:pPr>
    <w:rPr>
      <w:rFonts w:eastAsiaTheme="majorEastAsia"/>
      <w:color w:val="2F5496" w:themeColor="accent1" w:themeShade="BF"/>
      <w:sz w:val="28"/>
      <w:szCs w:val="28"/>
    </w:rPr>
  </w:style>
  <w:style w:type="paragraph" w:styleId="Kop2">
    <w:name w:val="heading 2"/>
    <w:basedOn w:val="Standaard"/>
    <w:next w:val="Standaard"/>
    <w:link w:val="Kop2Char"/>
    <w:autoRedefine/>
    <w:uiPriority w:val="9"/>
    <w:unhideWhenUsed/>
    <w:qFormat/>
    <w:rsid w:val="00D40187"/>
    <w:pPr>
      <w:keepNext/>
      <w:keepLines/>
      <w:numPr>
        <w:ilvl w:val="1"/>
        <w:numId w:val="8"/>
      </w:numPr>
      <w:spacing w:before="40"/>
      <w:outlineLvl w:val="1"/>
    </w:pPr>
    <w:rPr>
      <w:rFonts w:eastAsiaTheme="majorEastAsia"/>
      <w:color w:val="2F5496" w:themeColor="accent1" w:themeShade="BF"/>
      <w:sz w:val="26"/>
      <w:szCs w:val="26"/>
    </w:rPr>
  </w:style>
  <w:style w:type="paragraph" w:styleId="Kop3">
    <w:name w:val="heading 3"/>
    <w:basedOn w:val="Kop2"/>
    <w:next w:val="Standaard"/>
    <w:link w:val="Kop3Char"/>
    <w:uiPriority w:val="9"/>
    <w:unhideWhenUsed/>
    <w:qFormat/>
    <w:rsid w:val="0070772F"/>
    <w:pPr>
      <w:numPr>
        <w:ilvl w:val="0"/>
        <w:numId w:val="0"/>
      </w:numPr>
      <w:outlineLvl w:val="2"/>
    </w:pPr>
    <w:rPr>
      <w:sz w:val="24"/>
      <w:szCs w:val="24"/>
    </w:rPr>
  </w:style>
  <w:style w:type="paragraph" w:styleId="Kop4">
    <w:name w:val="heading 4"/>
    <w:basedOn w:val="Standaard"/>
    <w:next w:val="Standaard"/>
    <w:link w:val="Kop4Char"/>
    <w:autoRedefine/>
    <w:uiPriority w:val="9"/>
    <w:unhideWhenUsed/>
    <w:qFormat/>
    <w:rsid w:val="006A545A"/>
    <w:pPr>
      <w:keepNext/>
      <w:keepLines/>
      <w:numPr>
        <w:ilvl w:val="2"/>
        <w:numId w:val="8"/>
      </w:numPr>
      <w:spacing w:before="40"/>
      <w:outlineLvl w:val="3"/>
    </w:pPr>
    <w:rPr>
      <w:rFonts w:eastAsiaTheme="majorEastAsia"/>
      <w:color w:val="2F5496" w:themeColor="accent1" w:themeShade="BF"/>
    </w:rPr>
  </w:style>
  <w:style w:type="paragraph" w:styleId="Kop5">
    <w:name w:val="heading 5"/>
    <w:basedOn w:val="Standaard"/>
    <w:next w:val="Standaard"/>
    <w:link w:val="Kop5Char"/>
    <w:uiPriority w:val="9"/>
    <w:unhideWhenUsed/>
    <w:qFormat/>
    <w:rsid w:val="00F26FD6"/>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F26FD6"/>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F26FD6"/>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F26FD6"/>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26FD6"/>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A203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A2038"/>
  </w:style>
  <w:style w:type="paragraph" w:styleId="Voettekst">
    <w:name w:val="footer"/>
    <w:basedOn w:val="Standaard"/>
    <w:link w:val="VoettekstChar"/>
    <w:uiPriority w:val="99"/>
    <w:unhideWhenUsed/>
    <w:rsid w:val="006A203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A2038"/>
  </w:style>
  <w:style w:type="paragraph" w:styleId="Geenafstand">
    <w:name w:val="No Spacing"/>
    <w:link w:val="GeenafstandChar"/>
    <w:uiPriority w:val="1"/>
    <w:qFormat/>
    <w:rsid w:val="0021535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1535A"/>
    <w:rPr>
      <w:rFonts w:eastAsiaTheme="minorEastAsia"/>
      <w:lang w:eastAsia="nl-NL"/>
    </w:rPr>
  </w:style>
  <w:style w:type="table" w:customStyle="1" w:styleId="Tabelraster1">
    <w:name w:val="Tabelraster1"/>
    <w:basedOn w:val="Standaardtabel"/>
    <w:next w:val="Tabelraster"/>
    <w:uiPriority w:val="59"/>
    <w:rsid w:val="006A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6A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1licht-Accent11">
    <w:name w:val="Rastertabel 1 licht - Accent 11"/>
    <w:basedOn w:val="Standaardtabel"/>
    <w:uiPriority w:val="46"/>
    <w:rsid w:val="004E41C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Onopgemaaktetabel51">
    <w:name w:val="Onopgemaakte tabel 51"/>
    <w:basedOn w:val="Standaardtabel"/>
    <w:uiPriority w:val="45"/>
    <w:rsid w:val="004E41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nopgemaaktetabel41">
    <w:name w:val="Onopgemaakte tabel 41"/>
    <w:basedOn w:val="Standaardtabel"/>
    <w:uiPriority w:val="44"/>
    <w:rsid w:val="004E41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11">
    <w:name w:val="Onopgemaakte tabel 11"/>
    <w:basedOn w:val="Standaardtabel"/>
    <w:uiPriority w:val="41"/>
    <w:rsid w:val="004E41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rasterlicht1">
    <w:name w:val="Tabelraster licht1"/>
    <w:basedOn w:val="Standaardtabel"/>
    <w:uiPriority w:val="40"/>
    <w:rsid w:val="004E41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1Char">
    <w:name w:val="Kop 1 Char"/>
    <w:basedOn w:val="Standaardalinea-lettertype"/>
    <w:link w:val="Kop1"/>
    <w:uiPriority w:val="9"/>
    <w:rsid w:val="009406C9"/>
    <w:rPr>
      <w:rFonts w:eastAsiaTheme="majorEastAsia" w:cs="Arial"/>
      <w:color w:val="2F5496" w:themeColor="accent1" w:themeShade="BF"/>
      <w:sz w:val="28"/>
      <w:szCs w:val="28"/>
    </w:rPr>
  </w:style>
  <w:style w:type="character" w:customStyle="1" w:styleId="Kop2Char">
    <w:name w:val="Kop 2 Char"/>
    <w:basedOn w:val="Standaardalinea-lettertype"/>
    <w:link w:val="Kop2"/>
    <w:uiPriority w:val="9"/>
    <w:rsid w:val="00D40187"/>
    <w:rPr>
      <w:rFonts w:ascii="Arial" w:eastAsiaTheme="majorEastAsia" w:hAnsi="Arial" w:cs="Arial"/>
      <w:color w:val="2F5496" w:themeColor="accent1" w:themeShade="BF"/>
      <w:sz w:val="26"/>
      <w:szCs w:val="26"/>
    </w:rPr>
  </w:style>
  <w:style w:type="character" w:customStyle="1" w:styleId="Kop3Char">
    <w:name w:val="Kop 3 Char"/>
    <w:basedOn w:val="Standaardalinea-lettertype"/>
    <w:link w:val="Kop3"/>
    <w:uiPriority w:val="9"/>
    <w:rsid w:val="0070772F"/>
    <w:rPr>
      <w:rFonts w:eastAsiaTheme="majorEastAsia" w:cs="Arial"/>
      <w:color w:val="2F5496" w:themeColor="accent1" w:themeShade="BF"/>
      <w:sz w:val="24"/>
      <w:szCs w:val="24"/>
    </w:rPr>
  </w:style>
  <w:style w:type="character" w:customStyle="1" w:styleId="Kop4Char">
    <w:name w:val="Kop 4 Char"/>
    <w:basedOn w:val="Standaardalinea-lettertype"/>
    <w:link w:val="Kop4"/>
    <w:uiPriority w:val="9"/>
    <w:rsid w:val="006A545A"/>
    <w:rPr>
      <w:rFonts w:ascii="Arial" w:eastAsiaTheme="majorEastAsia" w:hAnsi="Arial" w:cs="Arial"/>
      <w:color w:val="2F5496" w:themeColor="accent1" w:themeShade="BF"/>
      <w:sz w:val="20"/>
      <w:szCs w:val="20"/>
    </w:rPr>
  </w:style>
  <w:style w:type="character" w:customStyle="1" w:styleId="Kop5Char">
    <w:name w:val="Kop 5 Char"/>
    <w:basedOn w:val="Standaardalinea-lettertype"/>
    <w:link w:val="Kop5"/>
    <w:uiPriority w:val="9"/>
    <w:rsid w:val="00F26FD6"/>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F26FD6"/>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F26FD6"/>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F26FD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6FD6"/>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F26FD6"/>
    <w:pPr>
      <w:ind w:left="720"/>
      <w:contextualSpacing/>
    </w:pPr>
  </w:style>
  <w:style w:type="paragraph" w:styleId="Titel">
    <w:name w:val="Title"/>
    <w:basedOn w:val="Standaard"/>
    <w:next w:val="Standaard"/>
    <w:link w:val="TitelChar"/>
    <w:autoRedefine/>
    <w:uiPriority w:val="10"/>
    <w:qFormat/>
    <w:rsid w:val="0021535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1535A"/>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D40187"/>
    <w:pPr>
      <w:spacing w:line="240" w:lineRule="auto"/>
    </w:pPr>
  </w:style>
  <w:style w:type="character" w:customStyle="1" w:styleId="VoetnoottekstChar">
    <w:name w:val="Voetnoottekst Char"/>
    <w:basedOn w:val="Standaardalinea-lettertype"/>
    <w:link w:val="Voetnoottekst"/>
    <w:uiPriority w:val="99"/>
    <w:semiHidden/>
    <w:rsid w:val="00D40187"/>
    <w:rPr>
      <w:rFonts w:ascii="Arial" w:hAnsi="Arial" w:cs="Arial"/>
      <w:sz w:val="20"/>
      <w:szCs w:val="20"/>
    </w:rPr>
  </w:style>
  <w:style w:type="character" w:styleId="Voetnootmarkering">
    <w:name w:val="footnote reference"/>
    <w:semiHidden/>
    <w:rsid w:val="00D40187"/>
    <w:rPr>
      <w:vertAlign w:val="superscript"/>
    </w:rPr>
  </w:style>
  <w:style w:type="character" w:styleId="Hyperlink">
    <w:name w:val="Hyperlink"/>
    <w:basedOn w:val="Standaardalinea-lettertype"/>
    <w:uiPriority w:val="99"/>
    <w:unhideWhenUsed/>
    <w:rsid w:val="006D5878"/>
    <w:rPr>
      <w:color w:val="0563C1" w:themeColor="hyperlink"/>
      <w:u w:val="single"/>
    </w:rPr>
  </w:style>
  <w:style w:type="character" w:customStyle="1" w:styleId="Onopgelostemelding1">
    <w:name w:val="Onopgeloste melding1"/>
    <w:basedOn w:val="Standaardalinea-lettertype"/>
    <w:uiPriority w:val="99"/>
    <w:semiHidden/>
    <w:unhideWhenUsed/>
    <w:rsid w:val="006D5878"/>
    <w:rPr>
      <w:color w:val="605E5C"/>
      <w:shd w:val="clear" w:color="auto" w:fill="E1DFDD"/>
    </w:rPr>
  </w:style>
  <w:style w:type="paragraph" w:styleId="Kopvaninhoudsopgave">
    <w:name w:val="TOC Heading"/>
    <w:basedOn w:val="Kop1"/>
    <w:next w:val="Standaard"/>
    <w:uiPriority w:val="39"/>
    <w:unhideWhenUsed/>
    <w:qFormat/>
    <w:rsid w:val="00AA3AE6"/>
    <w:pPr>
      <w:numPr>
        <w:numId w:val="0"/>
      </w:numPr>
      <w:outlineLvl w:val="9"/>
    </w:pPr>
    <w:rPr>
      <w:rFonts w:asciiTheme="majorHAnsi" w:hAnsiTheme="majorHAnsi" w:cstheme="majorBidi"/>
      <w:sz w:val="32"/>
      <w:szCs w:val="32"/>
      <w:lang w:eastAsia="nl-NL"/>
    </w:rPr>
  </w:style>
  <w:style w:type="paragraph" w:styleId="Inhopg3">
    <w:name w:val="toc 3"/>
    <w:basedOn w:val="Standaard"/>
    <w:next w:val="Standaard"/>
    <w:autoRedefine/>
    <w:uiPriority w:val="39"/>
    <w:unhideWhenUsed/>
    <w:rsid w:val="00AA3AE6"/>
    <w:pPr>
      <w:spacing w:after="100"/>
      <w:ind w:left="400"/>
    </w:pPr>
  </w:style>
  <w:style w:type="paragraph" w:styleId="Inhopg1">
    <w:name w:val="toc 1"/>
    <w:basedOn w:val="Standaard"/>
    <w:next w:val="Standaard"/>
    <w:autoRedefine/>
    <w:uiPriority w:val="39"/>
    <w:unhideWhenUsed/>
    <w:rsid w:val="00AA3AE6"/>
    <w:pPr>
      <w:spacing w:after="100"/>
    </w:pPr>
  </w:style>
  <w:style w:type="paragraph" w:styleId="Inhopg2">
    <w:name w:val="toc 2"/>
    <w:basedOn w:val="Standaard"/>
    <w:next w:val="Standaard"/>
    <w:autoRedefine/>
    <w:uiPriority w:val="39"/>
    <w:unhideWhenUsed/>
    <w:rsid w:val="00AA3AE6"/>
    <w:pPr>
      <w:spacing w:after="100"/>
      <w:ind w:left="200"/>
    </w:pPr>
  </w:style>
  <w:style w:type="character" w:styleId="GevolgdeHyperlink">
    <w:name w:val="FollowedHyperlink"/>
    <w:basedOn w:val="Standaardalinea-lettertype"/>
    <w:uiPriority w:val="99"/>
    <w:semiHidden/>
    <w:unhideWhenUsed/>
    <w:rsid w:val="0091086C"/>
    <w:rPr>
      <w:color w:val="954F72" w:themeColor="followedHyperlink"/>
      <w:u w:val="single"/>
    </w:rPr>
  </w:style>
  <w:style w:type="paragraph" w:styleId="Ballontekst">
    <w:name w:val="Balloon Text"/>
    <w:basedOn w:val="Standaard"/>
    <w:link w:val="BallontekstChar"/>
    <w:uiPriority w:val="99"/>
    <w:semiHidden/>
    <w:unhideWhenUsed/>
    <w:rsid w:val="00D859C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59CF"/>
    <w:rPr>
      <w:rFonts w:ascii="Tahoma" w:hAnsi="Tahoma" w:cs="Tahoma"/>
      <w:sz w:val="16"/>
      <w:szCs w:val="16"/>
    </w:rPr>
  </w:style>
  <w:style w:type="character" w:styleId="Verwijzingopmerking">
    <w:name w:val="annotation reference"/>
    <w:basedOn w:val="Standaardalinea-lettertype"/>
    <w:uiPriority w:val="99"/>
    <w:semiHidden/>
    <w:unhideWhenUsed/>
    <w:rsid w:val="00E42122"/>
    <w:rPr>
      <w:sz w:val="16"/>
      <w:szCs w:val="16"/>
    </w:rPr>
  </w:style>
  <w:style w:type="paragraph" w:styleId="Tekstopmerking">
    <w:name w:val="annotation text"/>
    <w:basedOn w:val="Standaard"/>
    <w:link w:val="TekstopmerkingChar"/>
    <w:uiPriority w:val="99"/>
    <w:semiHidden/>
    <w:unhideWhenUsed/>
    <w:rsid w:val="00E42122"/>
    <w:pPr>
      <w:spacing w:line="240" w:lineRule="auto"/>
    </w:pPr>
  </w:style>
  <w:style w:type="character" w:customStyle="1" w:styleId="TekstopmerkingChar">
    <w:name w:val="Tekst opmerking Char"/>
    <w:basedOn w:val="Standaardalinea-lettertype"/>
    <w:link w:val="Tekstopmerking"/>
    <w:uiPriority w:val="99"/>
    <w:semiHidden/>
    <w:rsid w:val="00E4212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E42122"/>
    <w:rPr>
      <w:b/>
      <w:bCs/>
    </w:rPr>
  </w:style>
  <w:style w:type="character" w:customStyle="1" w:styleId="OnderwerpvanopmerkingChar">
    <w:name w:val="Onderwerp van opmerking Char"/>
    <w:basedOn w:val="TekstopmerkingChar"/>
    <w:link w:val="Onderwerpvanopmerking"/>
    <w:uiPriority w:val="99"/>
    <w:semiHidden/>
    <w:rsid w:val="00E4212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pianoo.nl/sites/default/files/documents/documents/gewijzigde-circulaire-grensbedragen-procedures-aanbestedingswet-2012-per-1-sept-2015.pdf" TargetMode="External"/><Relationship Id="rId2" Type="http://schemas.openxmlformats.org/officeDocument/2006/relationships/hyperlink" Target="https://www.pianoo.nl/over-pianoo/vakgroepen/vakgroep-aanbestedingsrecht/visie-2-model-k-verklaring" TargetMode="External"/><Relationship Id="rId1" Type="http://schemas.openxmlformats.org/officeDocument/2006/relationships/hyperlink" Target="https://wetten.overheid.nl/BWBR0032203/2019-04-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A6FAD-8CD6-482A-B979-2D646F00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4945</Words>
  <Characters>27200</Characters>
  <Application>Microsoft Office Word</Application>
  <DocSecurity>4</DocSecurity>
  <Lines>226</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dc:creator>
  <cp:keywords>2022</cp:keywords>
  <dc:description>Eigenaar Rob</dc:description>
  <cp:lastModifiedBy>Kampen, van,Dawn</cp:lastModifiedBy>
  <cp:revision>2</cp:revision>
  <dcterms:created xsi:type="dcterms:W3CDTF">2020-12-11T10:42:00Z</dcterms:created>
  <dcterms:modified xsi:type="dcterms:W3CDTF">2020-12-11T10:42:00Z</dcterms:modified>
  <cp:category>Versie 2020; Looptijd 2 jaar; Loopt af 2022</cp:category>
</cp:coreProperties>
</file>